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val="en-US" w:eastAsia="zh-CN"/>
        </w:rPr>
        <w:t xml:space="preserve">常州市儿童医院CT、DR维保服务采购项目</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eastAsia="宋体" w:cs="Times New Roman"/>
          <w:bCs/>
          <w:color w:val="000000"/>
          <w:sz w:val="36"/>
          <w:szCs w:val="36"/>
          <w:highlight w:val="none"/>
          <w:lang w:val="en-US" w:eastAsia="zh-CN"/>
        </w:rPr>
        <w:t xml:space="preserve">JSZC-320400-CTZB-G2026-0048</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常州市儿童医院</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3"/>
      <w:r/>
      <w:bookmarkStart w:id="3" w:name="_Hlt100754102"/>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常州市儿童医院CT、DR维保服务采购项目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28359002"/>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JSZC-320400-CTZB-G2026-0048</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常州市儿童医院CT、DR维保服务采购项目</w:t>
      </w:r>
      <w:r>
        <w:rPr>
          <w:rFonts w:hint="eastAsia" w:ascii="仿宋" w:hAnsi="仿宋" w:eastAsia="仿宋"/>
          <w:color w:val="000000"/>
          <w:sz w:val="32"/>
          <w:szCs w:val="32"/>
          <w:highlight w:val="none"/>
          <w:lang w:eastAsia="zh-CN"/>
        </w:rPr>
      </w:r>
      <w:r/>
    </w:p>
    <w:p>
      <w:pPr>
        <w:pStyle w:val="1070"/>
        <w:ind w:firstLine="640"/>
        <w:spacing w:line="360" w:lineRule="auto"/>
        <w:rPr>
          <w:rFonts w:hint="eastAsia" w:ascii="仿宋" w:hAnsi="仿宋" w:eastAsia="仿宋"/>
          <w:color w:val="000000"/>
          <w:sz w:val="32"/>
          <w:szCs w:val="32"/>
          <w:highlight w:val="none"/>
          <w:lang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150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三年</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150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三年</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511"/>
        <w:gridCol w:w="1639"/>
        <w:gridCol w:w="1142"/>
        <w:gridCol w:w="4041"/>
      </w:tblGrid>
      <w:tr>
        <w:trPr>
          <w:trHeight w:val="454"/>
        </w:trPr>
        <w:tc>
          <w:tcPr>
            <w:tcW w:w="488"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17"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87"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618"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87"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488"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17"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飞利浦CT、DR维保服务</w:t>
            </w:r>
            <w:r>
              <w:rPr>
                <w:rFonts w:ascii="仿宋" w:hAnsi="仿宋" w:eastAsia="仿宋"/>
                <w:bCs/>
                <w:color w:val="000000"/>
                <w:sz w:val="32"/>
                <w:szCs w:val="32"/>
                <w:highlight w:val="none"/>
              </w:rPr>
            </w:r>
            <w:r/>
          </w:p>
        </w:tc>
        <w:tc>
          <w:tcPr>
            <w:tcW w:w="887"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150</w:t>
            </w:r>
            <w:r>
              <w:rPr>
                <w:rFonts w:ascii="仿宋" w:hAnsi="仿宋" w:eastAsia="仿宋"/>
                <w:bCs/>
                <w:color w:val="000000"/>
                <w:sz w:val="32"/>
                <w:szCs w:val="32"/>
                <w:highlight w:val="none"/>
                <w:lang w:val="en-US" w:eastAsia="zh-CN"/>
              </w:rPr>
            </w:r>
            <w:r/>
          </w:p>
        </w:tc>
        <w:tc>
          <w:tcPr>
            <w:tcW w:w="618"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lang w:val="en-US" w:eastAsia="zh-CN"/>
              </w:rPr>
            </w:r>
            <w:r/>
          </w:p>
        </w:tc>
        <w:tc>
          <w:tcPr>
            <w:tcW w:w="2187" w:type="dxa"/>
            <w:vAlign w:val="center"/>
            <w:textDirection w:val="lrTb"/>
            <w:noWrap w:val="false"/>
          </w:tcPr>
          <w:p>
            <w:pPr>
              <w:pStyle w:val="1070"/>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rPr>
              <w:t xml:space="preserve">飞利浦CT</w:t>
            </w:r>
            <w:r>
              <w:rPr>
                <w:rFonts w:hint="eastAsia" w:ascii="仿宋" w:hAnsi="仿宋" w:eastAsia="仿宋"/>
                <w:bCs/>
                <w:color w:val="000000"/>
                <w:sz w:val="32"/>
                <w:szCs w:val="32"/>
                <w:highlight w:val="none"/>
                <w:lang w:eastAsia="zh-CN"/>
              </w:rPr>
              <w:t xml:space="preserve">：</w:t>
            </w:r>
            <w:r>
              <w:rPr>
                <w:rFonts w:hint="eastAsia" w:ascii="仿宋" w:hAnsi="仿宋" w:eastAsia="仿宋"/>
                <w:bCs/>
                <w:color w:val="000000"/>
                <w:sz w:val="32"/>
                <w:szCs w:val="32"/>
                <w:highlight w:val="none"/>
                <w:lang w:val="en-US" w:eastAsia="zh-CN"/>
              </w:rPr>
              <w:t xml:space="preserve">1台</w:t>
            </w:r>
            <w:r>
              <w:rPr>
                <w:rFonts w:hint="eastAsia" w:ascii="仿宋" w:hAnsi="仿宋" w:eastAsia="仿宋"/>
                <w:bCs/>
                <w:color w:val="000000"/>
                <w:sz w:val="32"/>
                <w:szCs w:val="32"/>
                <w:highlight w:val="none"/>
                <w:lang w:val="en-US" w:eastAsia="zh-CN"/>
              </w:rPr>
            </w:r>
            <w:r/>
          </w:p>
          <w:p>
            <w:pPr>
              <w:pStyle w:val="1070"/>
              <w:jc w:val="center"/>
              <w:rPr>
                <w:rFonts w:ascii="仿宋" w:hAnsi="仿宋" w:eastAsia="仿宋"/>
                <w:color w:val="000000"/>
                <w:sz w:val="32"/>
                <w:szCs w:val="32"/>
                <w:highlight w:val="none"/>
              </w:rPr>
            </w:pPr>
            <w:r>
              <w:rPr>
                <w:rFonts w:hint="eastAsia" w:ascii="仿宋" w:hAnsi="仿宋" w:eastAsia="仿宋"/>
                <w:bCs/>
                <w:color w:val="000000"/>
                <w:sz w:val="32"/>
                <w:szCs w:val="32"/>
                <w:highlight w:val="none"/>
              </w:rPr>
              <w:t xml:space="preserve">飞利浦</w:t>
            </w:r>
            <w:r>
              <w:rPr>
                <w:rFonts w:hint="eastAsia" w:ascii="仿宋" w:hAnsi="仿宋" w:eastAsia="仿宋"/>
                <w:bCs/>
                <w:color w:val="000000"/>
                <w:sz w:val="32"/>
                <w:szCs w:val="32"/>
                <w:highlight w:val="none"/>
                <w:lang w:val="en-US" w:eastAsia="zh-CN"/>
              </w:rPr>
              <w:t xml:space="preserve">DR：1台</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合同履行期限：三年，合同一年一签。</w:t>
      </w:r>
      <w:r>
        <w:rPr>
          <w:rFonts w:ascii="仿宋" w:hAnsi="仿宋" w:eastAsia="仿宋"/>
          <w:color w:val="000000"/>
          <w:sz w:val="32"/>
          <w:szCs w:val="32"/>
          <w:highlight w:val="none"/>
          <w:u w:val="single"/>
          <w:lang w:val="en-US" w:eastAsia="zh-CN"/>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80"/>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72"/>
        <w:ind w:firstLine="643"/>
        <w:jc w:val="left"/>
        <w:spacing w:before="0" w:line="360" w:lineRule="auto"/>
        <w:widowControl/>
        <w:tabs>
          <w:tab w:val="left" w:pos="3768" w:leader="none"/>
        </w:tabs>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tab/>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val="0"/>
          <w:bCs w:val="0"/>
          <w:color w:val="000000"/>
          <w:sz w:val="32"/>
          <w:szCs w:val="32"/>
          <w:highlight w:val="none"/>
          <w:lang w:val="en-US" w:eastAsia="zh-CN"/>
        </w:rPr>
        <w:t xml:space="preserve">2026</w:t>
      </w:r>
      <w:r>
        <w:rPr>
          <w:rFonts w:hint="eastAsia" w:ascii="仿宋" w:hAnsi="仿宋" w:eastAsia="仿宋" w:cs="宋体"/>
          <w:b w:val="0"/>
          <w:bCs w:val="0"/>
          <w:color w:val="000000"/>
          <w:sz w:val="32"/>
          <w:szCs w:val="32"/>
          <w:highlight w:val="none"/>
        </w:rPr>
        <w:t xml:space="preserve">年</w:t>
      </w:r>
      <w:r>
        <w:rPr>
          <w:rFonts w:hint="eastAsia" w:ascii="仿宋" w:hAnsi="仿宋" w:eastAsia="仿宋" w:cs="宋体"/>
          <w:b w:val="0"/>
          <w:bCs w:val="0"/>
          <w:color w:val="000000"/>
          <w:sz w:val="32"/>
          <w:szCs w:val="32"/>
          <w:highlight w:val="none"/>
          <w:lang w:val="en-US" w:eastAsia="zh-CN"/>
        </w:rPr>
        <w:t xml:space="preserve">06</w:t>
      </w:r>
      <w:r>
        <w:rPr>
          <w:rFonts w:hint="eastAsia" w:ascii="仿宋" w:hAnsi="仿宋" w:eastAsia="仿宋" w:cs="宋体"/>
          <w:b w:val="0"/>
          <w:bCs w:val="0"/>
          <w:color w:val="000000"/>
          <w:sz w:val="32"/>
          <w:szCs w:val="32"/>
          <w:highlight w:val="none"/>
        </w:rPr>
        <w:t xml:space="preserve">月</w:t>
      </w:r>
      <w:r>
        <w:rPr>
          <w:rFonts w:hint="eastAsia" w:ascii="仿宋" w:hAnsi="仿宋" w:eastAsia="仿宋" w:cs="宋体"/>
          <w:b w:val="0"/>
          <w:bCs w:val="0"/>
          <w:color w:val="000000"/>
          <w:sz w:val="32"/>
          <w:szCs w:val="32"/>
          <w:highlight w:val="none"/>
          <w:lang w:val="en-US" w:eastAsia="zh-CN"/>
        </w:rPr>
        <w:t xml:space="preserve">03</w:t>
      </w:r>
      <w:r>
        <w:rPr>
          <w:rFonts w:hint="eastAsia" w:ascii="仿宋" w:hAnsi="仿宋" w:eastAsia="仿宋" w:cs="宋体"/>
          <w:b w:val="0"/>
          <w:bCs w:val="0"/>
          <w:color w:val="000000"/>
          <w:sz w:val="32"/>
          <w:szCs w:val="32"/>
          <w:highlight w:val="none"/>
        </w:rPr>
        <w:t xml:space="preserve">日</w:t>
      </w:r>
      <w:r>
        <w:rPr>
          <w:rFonts w:hint="eastAsia" w:ascii="仿宋" w:hAnsi="仿宋" w:eastAsia="仿宋" w:cs="宋体"/>
          <w:b w:val="0"/>
          <w:bCs w:val="0"/>
          <w:color w:val="000000"/>
          <w:sz w:val="32"/>
          <w:szCs w:val="32"/>
          <w:highlight w:val="none"/>
          <w:lang w:val="en-US" w:eastAsia="zh-CN"/>
        </w:rPr>
        <w:t xml:space="preserve">14</w:t>
      </w:r>
      <w:r>
        <w:rPr>
          <w:rFonts w:hint="eastAsia" w:ascii="仿宋" w:hAnsi="仿宋" w:eastAsia="仿宋" w:cs="宋体"/>
          <w:b w:val="0"/>
          <w:bCs w:val="0"/>
          <w:color w:val="000000"/>
          <w:sz w:val="32"/>
          <w:szCs w:val="32"/>
          <w:highlight w:val="none"/>
        </w:rPr>
        <w:t xml:space="preserve">点</w:t>
      </w:r>
      <w:r>
        <w:rPr>
          <w:rFonts w:hint="eastAsia" w:ascii="仿宋" w:hAnsi="仿宋" w:eastAsia="仿宋" w:cs="宋体"/>
          <w:b w:val="0"/>
          <w:bCs w:val="0"/>
          <w:color w:val="000000"/>
          <w:sz w:val="32"/>
          <w:szCs w:val="32"/>
          <w:highlight w:val="none"/>
          <w:lang w:val="en-US" w:eastAsia="zh-CN"/>
        </w:rPr>
        <w:t xml:space="preserve">00</w:t>
      </w:r>
      <w:r>
        <w:rPr>
          <w:rFonts w:hint="eastAsia" w:ascii="仿宋" w:hAnsi="仿宋" w:eastAsia="仿宋" w:cs="宋体"/>
          <w:b w:val="0"/>
          <w:bCs w:val="0"/>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28359007"/>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08"/>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称：常州市儿童医院 </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址：江苏省常州市中吴大道958号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联系方式：孙科</w:t>
      </w:r>
      <w:r>
        <w:rPr>
          <w:rFonts w:hint="eastAsia" w:ascii="仿宋" w:hAnsi="仿宋" w:eastAsia="仿宋"/>
          <w:color w:val="000000"/>
          <w:sz w:val="32"/>
          <w:szCs w:val="32"/>
          <w:highlight w:val="none"/>
          <w:lang w:val="en-US" w:eastAsia="zh-CN"/>
        </w:rPr>
        <w:t xml:space="preserve"> </w:t>
      </w:r>
      <w:r>
        <w:rPr>
          <w:rFonts w:hint="eastAsia" w:ascii="仿宋" w:hAnsi="仿宋" w:eastAsia="仿宋"/>
          <w:color w:val="000000"/>
          <w:sz w:val="32"/>
          <w:szCs w:val="32"/>
          <w:highlight w:val="none"/>
        </w:rPr>
        <w:t xml:space="preserve"> 0519-69808181</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73938"/>
      <w:r/>
      <w:bookmarkStart w:id="37" w:name="_Toc150774783"/>
      <w:r/>
      <w:bookmarkStart w:id="38" w:name="_Toc195842950"/>
      <w:r/>
      <w:bookmarkStart w:id="39" w:name="_Toc305158928"/>
      <w:r/>
      <w:bookmarkStart w:id="40" w:name="_Toc99301420"/>
      <w:r/>
      <w:bookmarkStart w:id="41" w:name="_Toc512937850"/>
      <w:r/>
      <w:bookmarkStart w:id="42" w:name="_Toc265228423"/>
      <w:r/>
      <w:bookmarkStart w:id="43" w:name="_Toc264969275"/>
      <w:r/>
      <w:bookmarkStart w:id="44" w:name="_Toc353825548"/>
      <w:r/>
      <w:bookmarkStart w:id="45" w:name="_Toc305158854"/>
      <w:r/>
      <w:bookmarkStart w:id="46" w:name="_Toc226965856"/>
      <w:r/>
      <w:bookmarkStart w:id="47" w:name="_Toc127151777"/>
      <w:r/>
      <w:bookmarkStart w:id="48" w:name="_Toc12716148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64608633"/>
      <w:r/>
      <w:bookmarkStart w:id="50" w:name="_Toc151193833"/>
      <w:r/>
      <w:bookmarkStart w:id="51" w:name="_Toc164351613"/>
      <w:r/>
      <w:bookmarkStart w:id="52" w:name="_Toc164229214"/>
      <w:r/>
      <w:bookmarkStart w:id="53" w:name="_Toc127151720"/>
      <w:r/>
      <w:bookmarkStart w:id="54" w:name="_Toc151193907"/>
      <w:r/>
      <w:bookmarkStart w:id="55" w:name="_Toc151190146"/>
      <w:r/>
      <w:bookmarkStart w:id="56" w:name="_Toc150509270"/>
      <w:r/>
      <w:bookmarkStart w:id="57" w:name="_Toc226337215"/>
      <w:r/>
      <w:bookmarkStart w:id="58" w:name="_Toc149720812"/>
      <w:r/>
      <w:bookmarkStart w:id="59" w:name="_Toc127151519"/>
      <w:r/>
      <w:bookmarkStart w:id="60" w:name="_Toc164608788"/>
      <w:r/>
      <w:bookmarkStart w:id="61" w:name="_Toc151193761"/>
      <w:r/>
      <w:bookmarkStart w:id="62" w:name="_Toc151193617"/>
      <w:r/>
      <w:bookmarkStart w:id="63" w:name="_Toc195842884"/>
      <w:r/>
      <w:bookmarkStart w:id="64" w:name="_Toc226309763"/>
      <w:r/>
      <w:bookmarkStart w:id="65" w:name="_Toc150774619"/>
      <w:r/>
      <w:bookmarkStart w:id="66" w:name="_Toc142311021"/>
      <w:r/>
      <w:bookmarkStart w:id="67" w:name="_Toc150480757"/>
      <w:r/>
      <w:bookmarkStart w:id="68" w:name="_Toc520356144"/>
      <w:r/>
      <w:bookmarkStart w:id="69" w:name="_Toc151193689"/>
      <w:r/>
      <w:bookmarkStart w:id="70" w:name="_Toc164229360"/>
      <w:r/>
      <w:bookmarkStart w:id="71" w:name="_Toc127161433"/>
      <w:r/>
      <w:bookmarkStart w:id="72" w:name="_Toc150774724"/>
      <w:r/>
      <w:bookmarkStart w:id="73" w:name="_Toc226965792"/>
      <w:r/>
      <w:bookmarkStart w:id="74" w:name="_Toc22696570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int="eastAsia" w:hAnsi="宋体" w:cs="宋体"/>
                <w:color w:val="000000"/>
                <w:sz w:val="24"/>
                <w:szCs w:val="24"/>
                <w:highlight w:val="none"/>
                <w:lang w:eastAsia="zh-CN"/>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
                <w:bCs/>
                <w:color w:val="000000"/>
                <w:sz w:val="24"/>
                <w:highlight w:val="none"/>
                <w:lang w:bidi="ar"/>
              </w:rPr>
              <w:t xml:space="preserve">供应商报价中应包含上述费用。</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353825542"/>
      <w:r/>
      <w:bookmarkStart w:id="76" w:name="_Toc265228355"/>
      <w:r/>
      <w:bookmarkStart w:id="77" w:name="_Toc264969207"/>
      <w:r/>
      <w:bookmarkStart w:id="78" w:name="_Toc150774722"/>
      <w:r/>
      <w:bookmarkStart w:id="79" w:name="_Toc305158859"/>
      <w:r/>
      <w:bookmarkStart w:id="80" w:name="_Toc142311019"/>
      <w:r/>
      <w:bookmarkStart w:id="81" w:name="_Toc353873932"/>
      <w:r/>
      <w:bookmarkStart w:id="82" w:name="_Toc150480755"/>
      <w:r/>
      <w:bookmarkStart w:id="83" w:name="_Toc226965790"/>
      <w:r/>
      <w:bookmarkStart w:id="84" w:name="_Toc353873662"/>
      <w:r/>
      <w:bookmarkStart w:id="85" w:name="_Toc127151517"/>
      <w:r/>
      <w:bookmarkStart w:id="86" w:name="_Toc305158785"/>
      <w:r/>
      <w:bookmarkStart w:id="87" w:name="_Toc195842882"/>
      <w:r/>
      <w:bookmarkStart w:id="88" w:name="_Toc226337213"/>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480756"/>
      <w:r/>
      <w:bookmarkStart w:id="92" w:name="_Toc226337214"/>
      <w:r/>
      <w:bookmarkStart w:id="93" w:name="_Toc151193832"/>
      <w:r/>
      <w:bookmarkStart w:id="94" w:name="_Toc226965708"/>
      <w:r/>
      <w:bookmarkStart w:id="95" w:name="_Toc150774618"/>
      <w:r/>
      <w:bookmarkStart w:id="96" w:name="_Toc305158786"/>
      <w:r/>
      <w:bookmarkStart w:id="97" w:name="_Toc151193906"/>
      <w:r/>
      <w:bookmarkStart w:id="98" w:name="_Toc305158860"/>
      <w:r/>
      <w:bookmarkStart w:id="99" w:name="_Toc150774723"/>
      <w:r/>
      <w:bookmarkStart w:id="100" w:name="_Toc264969208"/>
      <w:r/>
      <w:bookmarkStart w:id="101" w:name="_Toc151193688"/>
      <w:r/>
      <w:bookmarkStart w:id="102" w:name="_Toc151193760"/>
      <w:r/>
      <w:bookmarkStart w:id="103" w:name="_Toc150509269"/>
      <w:r/>
      <w:bookmarkStart w:id="104" w:name="_Toc195842883"/>
      <w:r/>
      <w:bookmarkStart w:id="105" w:name="_Toc142311020"/>
      <w:r/>
      <w:bookmarkStart w:id="106" w:name="_Toc226309762"/>
      <w:r/>
      <w:bookmarkStart w:id="107" w:name="_Toc226965791"/>
      <w:r/>
      <w:bookmarkStart w:id="108" w:name="_Toc265228356"/>
      <w:r/>
      <w:bookmarkStart w:id="109" w:name="_Toc151190145"/>
      <w:r/>
      <w:bookmarkStart w:id="110" w:name="_Toc15119361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787"/>
      <w:r/>
      <w:bookmarkStart w:id="113" w:name="_Toc305158861"/>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42311022"/>
      <w:r/>
      <w:bookmarkStart w:id="116" w:name="_Toc264969210"/>
      <w:r/>
      <w:bookmarkStart w:id="117" w:name="_Toc305158788"/>
      <w:r/>
      <w:bookmarkStart w:id="118" w:name="_Toc149720813"/>
      <w:r/>
      <w:bookmarkStart w:id="119" w:name="_Toc265228358"/>
      <w:r/>
      <w:bookmarkStart w:id="120" w:name="_Toc164608789"/>
      <w:r/>
      <w:bookmarkStart w:id="121" w:name="_Toc226965710"/>
      <w:r/>
      <w:bookmarkStart w:id="122" w:name="_Toc305158862"/>
      <w:r/>
      <w:bookmarkStart w:id="123" w:name="_Toc164229215"/>
      <w:r/>
      <w:bookmarkStart w:id="124" w:name="_Toc164608634"/>
      <w:r/>
      <w:bookmarkStart w:id="125" w:name="_Toc127151520"/>
      <w:r/>
      <w:bookmarkStart w:id="126" w:name="_Toc150509271"/>
      <w:r/>
      <w:bookmarkStart w:id="127" w:name="_Toc151193618"/>
      <w:r/>
      <w:bookmarkStart w:id="128" w:name="_Toc151193908"/>
      <w:r/>
      <w:bookmarkStart w:id="129" w:name="_Toc151190147"/>
      <w:r/>
      <w:bookmarkStart w:id="130" w:name="_Toc164229361"/>
      <w:r/>
      <w:bookmarkStart w:id="131" w:name="_Toc150774725"/>
      <w:r/>
      <w:bookmarkStart w:id="132" w:name="_Toc226337216"/>
      <w:r/>
      <w:bookmarkStart w:id="133" w:name="_Toc151193834"/>
      <w:r/>
      <w:bookmarkStart w:id="134" w:name="_Toc151193762"/>
      <w:r/>
      <w:bookmarkStart w:id="135" w:name="_Toc127151721"/>
      <w:r/>
      <w:bookmarkStart w:id="136" w:name="_Toc226965793"/>
      <w:r/>
      <w:bookmarkStart w:id="137" w:name="_Toc164351614"/>
      <w:r/>
      <w:bookmarkStart w:id="138" w:name="_Toc151193690"/>
      <w:r/>
      <w:bookmarkStart w:id="139" w:name="_Toc195842885"/>
      <w:r/>
      <w:bookmarkStart w:id="140" w:name="_Toc150774620"/>
      <w:r/>
      <w:bookmarkStart w:id="141" w:name="_Toc226309764"/>
      <w:r/>
      <w:bookmarkStart w:id="142" w:name="_Toc127161434"/>
      <w:r/>
      <w:bookmarkStart w:id="143" w:name="_Toc150480758"/>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09766"/>
      <w:r/>
      <w:bookmarkStart w:id="145" w:name="_Toc226965795"/>
      <w:r/>
      <w:bookmarkStart w:id="146" w:name="_Toc150480760"/>
      <w:r/>
      <w:bookmarkStart w:id="147" w:name="_Toc226337218"/>
      <w:r/>
      <w:bookmarkStart w:id="148" w:name="_Toc265228360"/>
      <w:r/>
      <w:bookmarkStart w:id="149" w:name="_Toc150509273"/>
      <w:r/>
      <w:bookmarkStart w:id="150" w:name="_Toc264969212"/>
      <w:r/>
      <w:bookmarkStart w:id="151" w:name="_Toc151193764"/>
      <w:r/>
      <w:bookmarkStart w:id="152" w:name="_Toc305158864"/>
      <w:r/>
      <w:bookmarkStart w:id="153" w:name="_Toc142311024"/>
      <w:r/>
      <w:bookmarkStart w:id="154" w:name="_Toc151193620"/>
      <w:r/>
      <w:bookmarkStart w:id="155" w:name="_Toc151193692"/>
      <w:r/>
      <w:bookmarkStart w:id="156" w:name="_Toc151193910"/>
      <w:r/>
      <w:bookmarkStart w:id="157" w:name="_Toc127151522"/>
      <w:r/>
      <w:bookmarkStart w:id="158" w:name="_Toc151193836"/>
      <w:r/>
      <w:bookmarkStart w:id="159" w:name="_Toc195842887"/>
      <w:r/>
      <w:bookmarkStart w:id="160" w:name="_Toc150774622"/>
      <w:r/>
      <w:bookmarkStart w:id="161" w:name="_Toc520356146"/>
      <w:r/>
      <w:bookmarkStart w:id="162" w:name="_Toc226965712"/>
      <w:r/>
      <w:bookmarkStart w:id="163" w:name="_Toc305158790"/>
      <w:r/>
      <w:bookmarkStart w:id="164" w:name="_Toc151190149"/>
      <w:r/>
      <w:bookmarkStart w:id="165" w:name="_Toc150774727"/>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21"/>
      <w:r/>
      <w:bookmarkStart w:id="168" w:name="_Toc150774728"/>
      <w:r/>
      <w:bookmarkStart w:id="169" w:name="_Toc150774623"/>
      <w:r/>
      <w:bookmarkStart w:id="170" w:name="_Toc195842888"/>
      <w:r/>
      <w:bookmarkStart w:id="171" w:name="_Toc265228361"/>
      <w:r/>
      <w:bookmarkStart w:id="172" w:name="_Toc151193837"/>
      <w:r/>
      <w:bookmarkStart w:id="173" w:name="_Toc127161437"/>
      <w:r/>
      <w:bookmarkStart w:id="174" w:name="_Toc226337219"/>
      <w:r/>
      <w:bookmarkStart w:id="175" w:name="_Toc264969213"/>
      <w:r/>
      <w:bookmarkStart w:id="176" w:name="_Toc305158865"/>
      <w:r/>
      <w:bookmarkStart w:id="177" w:name="_Toc226965713"/>
      <w:r/>
      <w:bookmarkStart w:id="178" w:name="_Toc164229364"/>
      <w:r/>
      <w:bookmarkStart w:id="179" w:name="_Toc127151523"/>
      <w:r/>
      <w:bookmarkStart w:id="180" w:name="_Toc151190150"/>
      <w:r/>
      <w:bookmarkStart w:id="181" w:name="_Toc151193911"/>
      <w:r/>
      <w:bookmarkStart w:id="182" w:name="_Toc149720816"/>
      <w:r/>
      <w:bookmarkStart w:id="183" w:name="_Toc164351617"/>
      <w:r/>
      <w:bookmarkStart w:id="184" w:name="_Toc305158791"/>
      <w:r/>
      <w:bookmarkStart w:id="185" w:name="_Toc520356147"/>
      <w:r/>
      <w:bookmarkStart w:id="186" w:name="_Toc164608792"/>
      <w:r/>
      <w:bookmarkStart w:id="187" w:name="_Toc150509274"/>
      <w:r/>
      <w:bookmarkStart w:id="188" w:name="_Toc226965796"/>
      <w:r/>
      <w:bookmarkStart w:id="189" w:name="_Toc151193765"/>
      <w:r/>
      <w:bookmarkStart w:id="190" w:name="_Toc164608637"/>
      <w:r/>
      <w:bookmarkStart w:id="191" w:name="_Toc150480761"/>
      <w:r/>
      <w:bookmarkStart w:id="192" w:name="_Toc226309767"/>
      <w:r/>
      <w:bookmarkStart w:id="193" w:name="_Toc151193693"/>
      <w:r/>
      <w:bookmarkStart w:id="194" w:name="_Toc142311025"/>
      <w:r/>
      <w:bookmarkStart w:id="195" w:name="_Toc127151724"/>
      <w:r/>
      <w:bookmarkStart w:id="196" w:name="_Toc16422921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51193696"/>
      <w:r/>
      <w:bookmarkStart w:id="198" w:name="_Toc226965716"/>
      <w:r/>
      <w:bookmarkStart w:id="199" w:name="_Toc150509277"/>
      <w:r/>
      <w:bookmarkStart w:id="200" w:name="_Toc264969216"/>
      <w:r/>
      <w:bookmarkStart w:id="201" w:name="_Toc151193624"/>
      <w:r/>
      <w:bookmarkStart w:id="202" w:name="_Toc520356150"/>
      <w:r/>
      <w:bookmarkStart w:id="203" w:name="_Toc150480764"/>
      <w:r/>
      <w:bookmarkStart w:id="204" w:name="_Toc305158868"/>
      <w:r/>
      <w:bookmarkStart w:id="205" w:name="_Toc226965799"/>
      <w:r/>
      <w:bookmarkStart w:id="206" w:name="_Toc265228364"/>
      <w:r/>
      <w:bookmarkStart w:id="207" w:name="_Toc151193768"/>
      <w:r/>
      <w:bookmarkStart w:id="208" w:name="_Toc195842891"/>
      <w:r/>
      <w:bookmarkStart w:id="209" w:name="_Toc226337222"/>
      <w:r/>
      <w:bookmarkStart w:id="210" w:name="_Toc516367020"/>
      <w:r/>
      <w:bookmarkStart w:id="211" w:name="_Toc150774731"/>
      <w:r/>
      <w:bookmarkStart w:id="212" w:name="_Toc151193840"/>
      <w:r/>
      <w:bookmarkStart w:id="213" w:name="_Toc226309770"/>
      <w:r/>
      <w:bookmarkStart w:id="214" w:name="_Toc150774626"/>
      <w:r/>
      <w:bookmarkStart w:id="215" w:name="_Toc127151526"/>
      <w:r/>
      <w:bookmarkStart w:id="216" w:name="_Toc151190153"/>
      <w:r/>
      <w:bookmarkStart w:id="217" w:name="_Toc151193914"/>
      <w:r/>
      <w:bookmarkStart w:id="218" w:name="_Toc305158794"/>
      <w:r/>
      <w:bookmarkStart w:id="219" w:name="_Toc14231102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480765"/>
      <w:r/>
      <w:bookmarkStart w:id="221" w:name="_Toc516367021"/>
      <w:r/>
      <w:bookmarkStart w:id="222" w:name="_Toc164229368"/>
      <w:r/>
      <w:bookmarkStart w:id="223" w:name="_Toc226965717"/>
      <w:r/>
      <w:bookmarkStart w:id="224" w:name="_Toc226309771"/>
      <w:r/>
      <w:bookmarkStart w:id="225" w:name="_Toc195842892"/>
      <w:r/>
      <w:bookmarkStart w:id="226" w:name="_Toc127161441"/>
      <w:r/>
      <w:bookmarkStart w:id="227" w:name="_Toc151193841"/>
      <w:r/>
      <w:bookmarkStart w:id="228" w:name="_Toc151193697"/>
      <w:r/>
      <w:bookmarkStart w:id="229" w:name="_Toc226965800"/>
      <w:r/>
      <w:bookmarkStart w:id="230" w:name="_Toc151193769"/>
      <w:r/>
      <w:bookmarkStart w:id="231" w:name="_Toc149720820"/>
      <w:r/>
      <w:bookmarkStart w:id="232" w:name="_Toc265228365"/>
      <w:r/>
      <w:bookmarkStart w:id="233" w:name="_Toc150774732"/>
      <w:r/>
      <w:bookmarkStart w:id="234" w:name="_Toc226337223"/>
      <w:r/>
      <w:bookmarkStart w:id="235" w:name="_Toc264969217"/>
      <w:r/>
      <w:bookmarkStart w:id="236" w:name="_Toc151190154"/>
      <w:r/>
      <w:bookmarkStart w:id="237" w:name="_Toc151193915"/>
      <w:r/>
      <w:bookmarkStart w:id="238" w:name="_Toc150774627"/>
      <w:r/>
      <w:bookmarkStart w:id="239" w:name="_Toc164351621"/>
      <w:r/>
      <w:bookmarkStart w:id="240" w:name="_Toc150509278"/>
      <w:r/>
      <w:bookmarkStart w:id="241" w:name="_Toc127151527"/>
      <w:r/>
      <w:bookmarkStart w:id="242" w:name="_Toc164608796"/>
      <w:r/>
      <w:bookmarkStart w:id="243" w:name="_Toc151193625"/>
      <w:r/>
      <w:bookmarkStart w:id="244" w:name="_Toc142311029"/>
      <w:r/>
      <w:bookmarkStart w:id="245" w:name="_Toc305158795"/>
      <w:r/>
      <w:bookmarkStart w:id="246" w:name="_Toc305158869"/>
      <w:r/>
      <w:bookmarkStart w:id="247" w:name="_Toc164608641"/>
      <w:r/>
      <w:bookmarkStart w:id="248" w:name="_Toc164229222"/>
      <w:r/>
      <w:bookmarkStart w:id="249" w:name="_Toc127151728"/>
      <w:r/>
      <w:bookmarkStart w:id="250" w:name="_Toc52035615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608642"/>
      <w:r/>
      <w:bookmarkStart w:id="252" w:name="_Toc265228366"/>
      <w:r/>
      <w:bookmarkStart w:id="253" w:name="_Toc520356152"/>
      <w:r/>
      <w:bookmarkStart w:id="254" w:name="_Toc195842893"/>
      <w:r/>
      <w:bookmarkStart w:id="255" w:name="_Toc151193842"/>
      <w:r/>
      <w:bookmarkStart w:id="256" w:name="_Toc150774733"/>
      <w:r/>
      <w:bookmarkStart w:id="257" w:name="_Toc226309772"/>
      <w:r/>
      <w:bookmarkStart w:id="258" w:name="_Toc516367022"/>
      <w:r/>
      <w:bookmarkStart w:id="259" w:name="_Ref467306195"/>
      <w:r/>
      <w:bookmarkStart w:id="260" w:name="_Ref467306676"/>
      <w:r/>
      <w:bookmarkStart w:id="261" w:name="_Toc164229223"/>
      <w:r/>
      <w:bookmarkStart w:id="262" w:name="_Toc226965718"/>
      <w:r/>
      <w:bookmarkStart w:id="263" w:name="_Toc127151729"/>
      <w:r/>
      <w:bookmarkStart w:id="264" w:name="_Toc151193626"/>
      <w:r/>
      <w:bookmarkStart w:id="265" w:name="_Toc151190155"/>
      <w:r/>
      <w:bookmarkStart w:id="266" w:name="_Toc127161442"/>
      <w:r/>
      <w:bookmarkStart w:id="267" w:name="_Toc226337224"/>
      <w:r/>
      <w:bookmarkStart w:id="268" w:name="_Toc151193698"/>
      <w:r/>
      <w:bookmarkStart w:id="269" w:name="_Toc150509279"/>
      <w:r/>
      <w:bookmarkStart w:id="270" w:name="_Toc164351622"/>
      <w:r/>
      <w:bookmarkStart w:id="271" w:name="_Toc164608797"/>
      <w:r/>
      <w:bookmarkStart w:id="272" w:name="_Toc150480766"/>
      <w:r/>
      <w:bookmarkStart w:id="273" w:name="_Toc151193770"/>
      <w:r/>
      <w:bookmarkStart w:id="274" w:name="_Toc142311030"/>
      <w:r/>
      <w:bookmarkStart w:id="275" w:name="_Toc149720821"/>
      <w:r/>
      <w:bookmarkStart w:id="276" w:name="_Toc226965801"/>
      <w:r/>
      <w:bookmarkStart w:id="277" w:name="_Toc151193916"/>
      <w:r/>
      <w:bookmarkStart w:id="278" w:name="_Toc305158796"/>
      <w:r/>
      <w:bookmarkStart w:id="279" w:name="_Toc150774628"/>
      <w:r/>
      <w:bookmarkStart w:id="280" w:name="_Toc305158870"/>
      <w:r/>
      <w:bookmarkStart w:id="281" w:name="_Toc127151528"/>
      <w:r/>
      <w:bookmarkStart w:id="282" w:name="_Toc164229369"/>
      <w:r/>
      <w:bookmarkStart w:id="283" w:name="_Toc26496921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480768"/>
      <w:r/>
      <w:bookmarkStart w:id="286" w:name="_Toc151193772"/>
      <w:r/>
      <w:bookmarkStart w:id="287" w:name="_Toc520356155"/>
      <w:r/>
      <w:bookmarkStart w:id="288" w:name="_Toc150509281"/>
      <w:r/>
      <w:bookmarkStart w:id="289" w:name="_Toc127151530"/>
      <w:r/>
      <w:bookmarkStart w:id="290" w:name="_Toc151193700"/>
      <w:r/>
      <w:bookmarkStart w:id="291" w:name="_Toc151193628"/>
      <w:r/>
      <w:bookmarkStart w:id="292" w:name="_Toc164608644"/>
      <w:r/>
      <w:bookmarkStart w:id="293" w:name="_Toc164351624"/>
      <w:r/>
      <w:bookmarkStart w:id="294" w:name="_Toc164229225"/>
      <w:r/>
      <w:bookmarkStart w:id="295" w:name="_Toc150774735"/>
      <w:r/>
      <w:bookmarkStart w:id="296" w:name="_Toc150774630"/>
      <w:r/>
      <w:bookmarkStart w:id="297" w:name="_Toc195842895"/>
      <w:r/>
      <w:bookmarkStart w:id="298" w:name="_Toc151193918"/>
      <w:r/>
      <w:bookmarkStart w:id="299" w:name="_Toc149720823"/>
      <w:r/>
      <w:bookmarkStart w:id="300" w:name="_Toc151190157"/>
      <w:r/>
      <w:bookmarkStart w:id="301" w:name="_Toc164229371"/>
      <w:r/>
      <w:bookmarkStart w:id="302" w:name="_Toc164608799"/>
      <w:r/>
      <w:bookmarkStart w:id="303" w:name="_Toc151193844"/>
      <w:r/>
      <w:bookmarkStart w:id="304" w:name="_Toc127161444"/>
      <w:r/>
      <w:bookmarkStart w:id="305" w:name="_Toc127151731"/>
      <w:r/>
      <w:bookmarkStart w:id="306" w:name="_Toc14231103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Ref467306513"/>
      <w:r/>
      <w:bookmarkStart w:id="308" w:name="_Toc150480769"/>
      <w:r/>
      <w:bookmarkStart w:id="309" w:name="_Toc226309775"/>
      <w:r/>
      <w:bookmarkStart w:id="310" w:name="_Toc164608800"/>
      <w:r/>
      <w:bookmarkStart w:id="311" w:name="_Toc226965721"/>
      <w:r/>
      <w:bookmarkStart w:id="312" w:name="_Toc264969221"/>
      <w:r/>
      <w:bookmarkStart w:id="313" w:name="_Toc164608645"/>
      <w:r/>
      <w:bookmarkStart w:id="314" w:name="_Toc164229226"/>
      <w:r/>
      <w:bookmarkStart w:id="315" w:name="_Toc151193701"/>
      <w:r/>
      <w:bookmarkStart w:id="316" w:name="_Toc151193629"/>
      <w:r/>
      <w:bookmarkStart w:id="317" w:name="_Toc195842896"/>
      <w:r/>
      <w:bookmarkStart w:id="318" w:name="_Toc164351625"/>
      <w:r/>
      <w:bookmarkStart w:id="319" w:name="_Toc151190158"/>
      <w:r/>
      <w:bookmarkStart w:id="320" w:name="_Toc226337227"/>
      <w:r/>
      <w:bookmarkStart w:id="321" w:name="_Toc151193919"/>
      <w:r/>
      <w:bookmarkStart w:id="322" w:name="_Toc305158873"/>
      <w:r/>
      <w:bookmarkStart w:id="323" w:name="_Toc305158799"/>
      <w:r/>
      <w:bookmarkStart w:id="324" w:name="_Toc226965804"/>
      <w:r/>
      <w:bookmarkStart w:id="325" w:name="_Toc151193845"/>
      <w:r/>
      <w:bookmarkStart w:id="326" w:name="_Toc142311033"/>
      <w:r/>
      <w:bookmarkStart w:id="327" w:name="_Toc150509282"/>
      <w:r/>
      <w:bookmarkStart w:id="328" w:name="_Toc151193773"/>
      <w:r/>
      <w:bookmarkStart w:id="329" w:name="_Toc265228369"/>
      <w:r/>
      <w:bookmarkStart w:id="330" w:name="_Toc149720824"/>
      <w:r/>
      <w:bookmarkStart w:id="331" w:name="_Toc127151732"/>
      <w:r/>
      <w:bookmarkStart w:id="332" w:name="_Toc127151531"/>
      <w:r/>
      <w:bookmarkStart w:id="333" w:name="_Toc150774736"/>
      <w:r/>
      <w:bookmarkStart w:id="334" w:name="_Toc520356156"/>
      <w:r/>
      <w:bookmarkStart w:id="335" w:name="_Toc127161445"/>
      <w:r/>
      <w:bookmarkStart w:id="336" w:name="_Toc150774631"/>
      <w:r/>
      <w:bookmarkStart w:id="337" w:name="_Toc16422937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51532"/>
      <w:r/>
      <w:bookmarkStart w:id="339" w:name="_Toc264969222"/>
      <w:r/>
      <w:bookmarkStart w:id="340" w:name="_Toc226965805"/>
      <w:r/>
      <w:bookmarkStart w:id="341" w:name="_Toc226309776"/>
      <w:r/>
      <w:bookmarkStart w:id="342" w:name="_Toc150480770"/>
      <w:r/>
      <w:bookmarkStart w:id="343" w:name="_Toc127151733"/>
      <w:r/>
      <w:bookmarkStart w:id="344" w:name="_Toc151193630"/>
      <w:r/>
      <w:bookmarkStart w:id="345" w:name="_Toc151193846"/>
      <w:r/>
      <w:bookmarkStart w:id="346" w:name="_Toc151190159"/>
      <w:r/>
      <w:bookmarkStart w:id="347" w:name="_Toc226337228"/>
      <w:r/>
      <w:bookmarkStart w:id="348" w:name="_Toc127161446"/>
      <w:r/>
      <w:bookmarkStart w:id="349" w:name="_Toc265228370"/>
      <w:r/>
      <w:bookmarkStart w:id="350" w:name="_Toc150509283"/>
      <w:r/>
      <w:bookmarkStart w:id="351" w:name="_Toc164229227"/>
      <w:r/>
      <w:bookmarkStart w:id="352" w:name="_Toc164229373"/>
      <w:r/>
      <w:bookmarkStart w:id="353" w:name="_Toc151193920"/>
      <w:r/>
      <w:bookmarkStart w:id="354" w:name="_Toc151193774"/>
      <w:r/>
      <w:bookmarkStart w:id="355" w:name="_Toc164608801"/>
      <w:r/>
      <w:bookmarkStart w:id="356" w:name="_Toc151193702"/>
      <w:r/>
      <w:bookmarkStart w:id="357" w:name="_Toc195842897"/>
      <w:r/>
      <w:bookmarkStart w:id="358" w:name="_Toc150774632"/>
      <w:r/>
      <w:bookmarkStart w:id="359" w:name="_Toc149720825"/>
      <w:r/>
      <w:bookmarkStart w:id="360" w:name="_Toc305158874"/>
      <w:r/>
      <w:bookmarkStart w:id="361" w:name="_Toc164351626"/>
      <w:r/>
      <w:bookmarkStart w:id="362" w:name="_Toc142311034"/>
      <w:r/>
      <w:bookmarkStart w:id="363" w:name="_Toc226965722"/>
      <w:r/>
      <w:bookmarkStart w:id="364" w:name="_Toc305158800"/>
      <w:r/>
      <w:bookmarkStart w:id="365" w:name="_Toc520356157"/>
      <w:r/>
      <w:bookmarkStart w:id="366" w:name="_Toc150774737"/>
      <w:r/>
      <w:bookmarkStart w:id="367" w:name="_Toc16460864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608802"/>
      <w:r/>
      <w:bookmarkStart w:id="369" w:name="_Toc305158875"/>
      <w:r/>
      <w:bookmarkStart w:id="370" w:name="_Toc226337229"/>
      <w:r/>
      <w:bookmarkStart w:id="371" w:name="_Toc164229228"/>
      <w:r/>
      <w:bookmarkStart w:id="372" w:name="_Toc151193921"/>
      <w:r/>
      <w:bookmarkStart w:id="373" w:name="_Toc226309777"/>
      <w:r/>
      <w:bookmarkStart w:id="374" w:name="_Toc127161447"/>
      <w:r/>
      <w:bookmarkStart w:id="375" w:name="_Toc151193703"/>
      <w:r/>
      <w:bookmarkStart w:id="376" w:name="_Toc142311035"/>
      <w:r/>
      <w:bookmarkStart w:id="377" w:name="_Toc164229374"/>
      <w:r/>
      <w:bookmarkStart w:id="378" w:name="_Toc151193775"/>
      <w:r/>
      <w:bookmarkStart w:id="379" w:name="_Toc149720826"/>
      <w:r/>
      <w:bookmarkStart w:id="380" w:name="_Toc520356158"/>
      <w:r/>
      <w:bookmarkStart w:id="381" w:name="_Toc164351627"/>
      <w:r/>
      <w:bookmarkStart w:id="382" w:name="_Toc127151533"/>
      <w:r/>
      <w:bookmarkStart w:id="383" w:name="_Toc127151734"/>
      <w:r/>
      <w:bookmarkStart w:id="384" w:name="_Toc151193631"/>
      <w:r/>
      <w:bookmarkStart w:id="385" w:name="_Toc226965723"/>
      <w:r/>
      <w:bookmarkStart w:id="386" w:name="_Toc195842898"/>
      <w:r/>
      <w:bookmarkStart w:id="387" w:name="_Toc265228371"/>
      <w:r/>
      <w:bookmarkStart w:id="388" w:name="_Toc150480771"/>
      <w:r/>
      <w:bookmarkStart w:id="389" w:name="_Toc151190160"/>
      <w:r/>
      <w:bookmarkStart w:id="390" w:name="_Toc264969223"/>
      <w:r/>
      <w:bookmarkStart w:id="391" w:name="_Toc150774738"/>
      <w:r/>
      <w:bookmarkStart w:id="392" w:name="_Toc151193847"/>
      <w:r/>
      <w:bookmarkStart w:id="393" w:name="_Toc226965806"/>
      <w:r/>
      <w:bookmarkStart w:id="394" w:name="_Toc305158801"/>
      <w:r/>
      <w:bookmarkStart w:id="395" w:name="_Toc164608647"/>
      <w:r/>
      <w:bookmarkStart w:id="396" w:name="_Toc150509284"/>
      <w:r/>
      <w:bookmarkStart w:id="397" w:name="_Toc15077463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27151534"/>
      <w:r/>
      <w:bookmarkStart w:id="399" w:name="_Toc150774739"/>
      <w:r/>
      <w:bookmarkStart w:id="400" w:name="_Toc151193704"/>
      <w:r/>
      <w:bookmarkStart w:id="401" w:name="_Toc150774634"/>
      <w:r/>
      <w:bookmarkStart w:id="402" w:name="_Toc520356159"/>
      <w:r/>
      <w:bookmarkStart w:id="403" w:name="_Toc264969224"/>
      <w:r/>
      <w:bookmarkStart w:id="404" w:name="_Toc151193922"/>
      <w:r/>
      <w:bookmarkStart w:id="405" w:name="_Toc151193776"/>
      <w:r/>
      <w:bookmarkStart w:id="406" w:name="_Toc305158876"/>
      <w:r/>
      <w:bookmarkStart w:id="407" w:name="_Toc150509285"/>
      <w:r/>
      <w:bookmarkStart w:id="408" w:name="_Toc305158802"/>
      <w:r/>
      <w:bookmarkStart w:id="409" w:name="_Toc226965807"/>
      <w:r/>
      <w:bookmarkStart w:id="410" w:name="_Toc150480772"/>
      <w:r/>
      <w:bookmarkStart w:id="411" w:name="_Toc151193848"/>
      <w:r/>
      <w:bookmarkStart w:id="412" w:name="_Toc226337230"/>
      <w:r/>
      <w:bookmarkStart w:id="413" w:name="_Toc151190161"/>
      <w:r/>
      <w:bookmarkStart w:id="414" w:name="_Toc226965724"/>
      <w:r/>
      <w:bookmarkStart w:id="415" w:name="_Toc151193632"/>
      <w:r/>
      <w:bookmarkStart w:id="416" w:name="_Toc265228372"/>
      <w:r/>
      <w:bookmarkStart w:id="417" w:name="_Toc226309778"/>
      <w:r/>
      <w:bookmarkStart w:id="418" w:name="_Toc142311036"/>
      <w:r/>
      <w:bookmarkStart w:id="419" w:name="_Toc19584289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309779"/>
      <w:r/>
      <w:bookmarkStart w:id="421" w:name="_Toc164608804"/>
      <w:r/>
      <w:bookmarkStart w:id="422" w:name="_Toc164608649"/>
      <w:r/>
      <w:bookmarkStart w:id="423" w:name="_Toc150509286"/>
      <w:r/>
      <w:bookmarkStart w:id="424" w:name="_Toc305158877"/>
      <w:r/>
      <w:bookmarkStart w:id="425" w:name="_Toc150774635"/>
      <w:r/>
      <w:bookmarkStart w:id="426" w:name="_Toc164229376"/>
      <w:r/>
      <w:bookmarkStart w:id="427" w:name="_Toc226965725"/>
      <w:r/>
      <w:bookmarkStart w:id="428" w:name="_Toc127161449"/>
      <w:r/>
      <w:bookmarkStart w:id="429" w:name="_Toc151193849"/>
      <w:r/>
      <w:bookmarkStart w:id="430" w:name="_Toc226965808"/>
      <w:r/>
      <w:bookmarkStart w:id="431" w:name="_Toc142311037"/>
      <w:r/>
      <w:bookmarkStart w:id="432" w:name="_Toc164229230"/>
      <w:r/>
      <w:bookmarkStart w:id="433" w:name="_Toc195842900"/>
      <w:r/>
      <w:bookmarkStart w:id="434" w:name="_Toc151193633"/>
      <w:r/>
      <w:bookmarkStart w:id="435" w:name="_Toc150774740"/>
      <w:r/>
      <w:bookmarkStart w:id="436" w:name="_Toc164351629"/>
      <w:r/>
      <w:bookmarkStart w:id="437" w:name="_Toc151190162"/>
      <w:r/>
      <w:bookmarkStart w:id="438" w:name="_Toc151193777"/>
      <w:r/>
      <w:bookmarkStart w:id="439" w:name="_Toc305158803"/>
      <w:r/>
      <w:bookmarkStart w:id="440" w:name="_Toc127151736"/>
      <w:r/>
      <w:bookmarkStart w:id="441" w:name="_Toc264969225"/>
      <w:r/>
      <w:bookmarkStart w:id="442" w:name="_Toc226337231"/>
      <w:r/>
      <w:bookmarkStart w:id="443" w:name="_Toc265228373"/>
      <w:r/>
      <w:bookmarkStart w:id="444" w:name="_Toc127151535"/>
      <w:r/>
      <w:bookmarkStart w:id="445" w:name="_Toc520356160"/>
      <w:r/>
      <w:bookmarkStart w:id="446" w:name="_Toc149720828"/>
      <w:r/>
      <w:bookmarkStart w:id="447" w:name="_Toc150480773"/>
      <w:r/>
      <w:bookmarkStart w:id="448" w:name="_Toc151193923"/>
      <w:r/>
      <w:bookmarkStart w:id="449" w:name="_Toc15119370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305158878"/>
      <w:r/>
      <w:bookmarkStart w:id="451" w:name="_Toc226337232"/>
      <w:r/>
      <w:bookmarkStart w:id="452" w:name="_Toc142311038"/>
      <w:r/>
      <w:bookmarkStart w:id="453" w:name="_Toc151190163"/>
      <w:r/>
      <w:bookmarkStart w:id="454" w:name="_Toc151193634"/>
      <w:r/>
      <w:bookmarkStart w:id="455" w:name="_Toc164229377"/>
      <w:r/>
      <w:bookmarkStart w:id="456" w:name="_Toc520356161"/>
      <w:r/>
      <w:bookmarkStart w:id="457" w:name="_Toc226965809"/>
      <w:r/>
      <w:bookmarkStart w:id="458" w:name="_Toc150774741"/>
      <w:r/>
      <w:bookmarkStart w:id="459" w:name="_Toc164351630"/>
      <w:r/>
      <w:bookmarkStart w:id="460" w:name="_Toc164608650"/>
      <w:r/>
      <w:bookmarkStart w:id="461" w:name="_Toc151193706"/>
      <w:r/>
      <w:bookmarkStart w:id="462" w:name="_Toc151193850"/>
      <w:r/>
      <w:bookmarkStart w:id="463" w:name="_Toc150480774"/>
      <w:r/>
      <w:bookmarkStart w:id="464" w:name="_Toc195842901"/>
      <w:r/>
      <w:bookmarkStart w:id="465" w:name="_Toc265228374"/>
      <w:r/>
      <w:bookmarkStart w:id="466" w:name="_Toc150774636"/>
      <w:r/>
      <w:bookmarkStart w:id="467" w:name="_Toc149720829"/>
      <w:r/>
      <w:bookmarkStart w:id="468" w:name="_Toc127151737"/>
      <w:r/>
      <w:bookmarkStart w:id="469" w:name="_Toc164608805"/>
      <w:r/>
      <w:bookmarkStart w:id="470" w:name="_Toc127161450"/>
      <w:r/>
      <w:bookmarkStart w:id="471" w:name="_Toc151193778"/>
      <w:r/>
      <w:bookmarkStart w:id="472" w:name="_Toc127151536"/>
      <w:r/>
      <w:bookmarkStart w:id="473" w:name="_Toc226965726"/>
      <w:r/>
      <w:bookmarkStart w:id="474" w:name="_Toc151193924"/>
      <w:r/>
      <w:bookmarkStart w:id="475" w:name="_Toc264969226"/>
      <w:r/>
      <w:bookmarkStart w:id="476" w:name="_Toc305158804"/>
      <w:r/>
      <w:bookmarkStart w:id="477" w:name="_Toc164229231"/>
      <w:r/>
      <w:bookmarkStart w:id="478" w:name="_Toc150509287"/>
      <w:r/>
      <w:bookmarkStart w:id="479" w:name="_Toc22630978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3779"/>
      <w:r/>
      <w:bookmarkStart w:id="481" w:name="_Toc127161451"/>
      <w:r/>
      <w:bookmarkStart w:id="482" w:name="_Toc150509288"/>
      <w:r/>
      <w:bookmarkStart w:id="483" w:name="_Toc127151738"/>
      <w:r/>
      <w:bookmarkStart w:id="484" w:name="_Toc195842902"/>
      <w:r/>
      <w:bookmarkStart w:id="485" w:name="_Toc150774742"/>
      <w:r/>
      <w:bookmarkStart w:id="486" w:name="_Toc151193707"/>
      <w:r/>
      <w:bookmarkStart w:id="487" w:name="_Toc226965810"/>
      <w:r/>
      <w:bookmarkStart w:id="488" w:name="_Toc164351631"/>
      <w:r/>
      <w:bookmarkStart w:id="489" w:name="_Toc151193851"/>
      <w:r/>
      <w:bookmarkStart w:id="490" w:name="_Toc226309781"/>
      <w:r/>
      <w:bookmarkStart w:id="491" w:name="_Toc305158879"/>
      <w:r/>
      <w:bookmarkStart w:id="492" w:name="_Toc151193925"/>
      <w:r/>
      <w:bookmarkStart w:id="493" w:name="_Toc142311039"/>
      <w:r/>
      <w:bookmarkStart w:id="494" w:name="_Toc150774637"/>
      <w:r/>
      <w:bookmarkStart w:id="495" w:name="_Toc164229378"/>
      <w:r/>
      <w:bookmarkStart w:id="496" w:name="_Toc151190164"/>
      <w:r/>
      <w:bookmarkStart w:id="497" w:name="_Toc151193635"/>
      <w:r/>
      <w:bookmarkStart w:id="498" w:name="_Toc264969227"/>
      <w:r/>
      <w:bookmarkStart w:id="499" w:name="_Toc226965727"/>
      <w:r/>
      <w:bookmarkStart w:id="500" w:name="_Toc164608651"/>
      <w:r/>
      <w:bookmarkStart w:id="501" w:name="_Toc164608806"/>
      <w:r/>
      <w:bookmarkStart w:id="502" w:name="_Toc127151537"/>
      <w:r/>
      <w:bookmarkStart w:id="503" w:name="_Toc520356162"/>
      <w:r/>
      <w:bookmarkStart w:id="504" w:name="_Toc150480775"/>
      <w:r/>
      <w:bookmarkStart w:id="505" w:name="_Toc305158805"/>
      <w:r/>
      <w:bookmarkStart w:id="506" w:name="_Toc149720830"/>
      <w:r/>
      <w:bookmarkStart w:id="507" w:name="_Toc164229232"/>
      <w:r/>
      <w:bookmarkStart w:id="508" w:name="_Toc226337233"/>
      <w:r/>
      <w:bookmarkStart w:id="509" w:name="_Toc265228375"/>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142311040"/>
      <w:r/>
      <w:bookmarkStart w:id="511" w:name="_Toc305158806"/>
      <w:r/>
      <w:bookmarkStart w:id="512" w:name="_Toc151193852"/>
      <w:r/>
      <w:bookmarkStart w:id="513" w:name="_Toc226965811"/>
      <w:r/>
      <w:bookmarkStart w:id="514" w:name="_Toc264969228"/>
      <w:r/>
      <w:bookmarkStart w:id="515" w:name="_Toc520356163"/>
      <w:r/>
      <w:bookmarkStart w:id="516" w:name="_Toc226965728"/>
      <w:r/>
      <w:bookmarkStart w:id="517" w:name="_Toc151193926"/>
      <w:r/>
      <w:bookmarkStart w:id="518" w:name="_Toc150509289"/>
      <w:r/>
      <w:bookmarkStart w:id="519" w:name="_Toc195842903"/>
      <w:r/>
      <w:bookmarkStart w:id="520" w:name="_Toc151193636"/>
      <w:r/>
      <w:bookmarkStart w:id="521" w:name="_Toc151193780"/>
      <w:r/>
      <w:bookmarkStart w:id="522" w:name="_Toc127151538"/>
      <w:r/>
      <w:bookmarkStart w:id="523" w:name="_Toc150480776"/>
      <w:r/>
      <w:bookmarkStart w:id="524" w:name="_Toc151190165"/>
      <w:r/>
      <w:bookmarkStart w:id="525" w:name="_Toc226337234"/>
      <w:r/>
      <w:bookmarkStart w:id="526" w:name="_Toc150774743"/>
      <w:r/>
      <w:bookmarkStart w:id="527" w:name="_Toc305158880"/>
      <w:r/>
      <w:bookmarkStart w:id="528" w:name="_Toc150774638"/>
      <w:r/>
      <w:bookmarkStart w:id="529" w:name="_Toc226309782"/>
      <w:r/>
      <w:bookmarkStart w:id="530" w:name="_Toc151193708"/>
      <w:r/>
      <w:bookmarkStart w:id="531" w:name="_Toc26522837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0166"/>
      <w:r/>
      <w:bookmarkStart w:id="533" w:name="_Toc151193853"/>
      <w:r/>
      <w:bookmarkStart w:id="534" w:name="_Toc127161453"/>
      <w:r/>
      <w:bookmarkStart w:id="535" w:name="_Toc164229380"/>
      <w:r/>
      <w:bookmarkStart w:id="536" w:name="_Toc265228377"/>
      <w:r/>
      <w:bookmarkStart w:id="537" w:name="_Toc305158807"/>
      <w:r/>
      <w:bookmarkStart w:id="538" w:name="_Toc164608808"/>
      <w:r/>
      <w:bookmarkStart w:id="539" w:name="_Toc142311041"/>
      <w:r/>
      <w:bookmarkStart w:id="540" w:name="_Toc150480777"/>
      <w:r/>
      <w:bookmarkStart w:id="541" w:name="_Toc164229234"/>
      <w:r/>
      <w:bookmarkStart w:id="542" w:name="_Toc164608653"/>
      <w:r/>
      <w:bookmarkStart w:id="543" w:name="_Toc164351633"/>
      <w:r/>
      <w:bookmarkStart w:id="544" w:name="_Toc127151740"/>
      <w:r/>
      <w:bookmarkStart w:id="545" w:name="_Toc305158881"/>
      <w:r/>
      <w:bookmarkStart w:id="546" w:name="_Toc226965812"/>
      <w:r/>
      <w:bookmarkStart w:id="547" w:name="_Toc149720832"/>
      <w:r/>
      <w:bookmarkStart w:id="548" w:name="_Toc151193709"/>
      <w:r/>
      <w:bookmarkStart w:id="549" w:name="_Toc226309783"/>
      <w:r/>
      <w:bookmarkStart w:id="550" w:name="_Toc151193927"/>
      <w:r/>
      <w:bookmarkStart w:id="551" w:name="_Toc127151539"/>
      <w:r/>
      <w:bookmarkStart w:id="552" w:name="_Toc195842904"/>
      <w:r/>
      <w:bookmarkStart w:id="553" w:name="_Toc151193637"/>
      <w:r/>
      <w:bookmarkStart w:id="554" w:name="_Toc226337235"/>
      <w:r/>
      <w:bookmarkStart w:id="555" w:name="_Toc151193781"/>
      <w:r/>
      <w:bookmarkStart w:id="556" w:name="_Toc150774744"/>
      <w:r/>
      <w:bookmarkStart w:id="557" w:name="_Toc264969229"/>
      <w:r/>
      <w:bookmarkStart w:id="558" w:name="_Toc520356164"/>
      <w:r/>
      <w:bookmarkStart w:id="559" w:name="_Toc150774639"/>
      <w:r/>
      <w:bookmarkStart w:id="560" w:name="_Toc150509290"/>
      <w:r/>
      <w:bookmarkStart w:id="561" w:name="_Toc22696572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0480778"/>
      <w:r/>
      <w:bookmarkStart w:id="564" w:name="_Toc150774745"/>
      <w:r/>
      <w:bookmarkStart w:id="565" w:name="_Toc151193854"/>
      <w:r/>
      <w:bookmarkStart w:id="566" w:name="_Toc151193928"/>
      <w:r/>
      <w:bookmarkStart w:id="567" w:name="_Toc264969230"/>
      <w:r/>
      <w:bookmarkStart w:id="568" w:name="_Toc265228378"/>
      <w:r/>
      <w:bookmarkStart w:id="569" w:name="_Toc151190167"/>
      <w:r/>
      <w:bookmarkStart w:id="570" w:name="_Toc226965813"/>
      <w:r/>
      <w:bookmarkStart w:id="571" w:name="_Toc226309784"/>
      <w:r/>
      <w:bookmarkStart w:id="572" w:name="_Toc164608654"/>
      <w:r/>
      <w:bookmarkStart w:id="573" w:name="_Toc150509291"/>
      <w:r/>
      <w:bookmarkStart w:id="574" w:name="_Toc164351634"/>
      <w:r/>
      <w:bookmarkStart w:id="575" w:name="_Toc164229235"/>
      <w:r/>
      <w:bookmarkStart w:id="576" w:name="_Toc149720833"/>
      <w:r/>
      <w:bookmarkStart w:id="577" w:name="_Toc127161454"/>
      <w:r/>
      <w:bookmarkStart w:id="578" w:name="_Toc151193782"/>
      <w:r/>
      <w:bookmarkStart w:id="579" w:name="_Toc226965730"/>
      <w:r/>
      <w:bookmarkStart w:id="580" w:name="_Toc305158808"/>
      <w:r/>
      <w:bookmarkStart w:id="581" w:name="_Toc142311042"/>
      <w:r/>
      <w:bookmarkStart w:id="582" w:name="_Toc164229381"/>
      <w:r/>
      <w:bookmarkStart w:id="583" w:name="_Toc127151540"/>
      <w:r/>
      <w:bookmarkStart w:id="584" w:name="_Toc151193638"/>
      <w:r/>
      <w:bookmarkStart w:id="585" w:name="_Toc305158882"/>
      <w:r/>
      <w:bookmarkStart w:id="586" w:name="_Toc127151741"/>
      <w:r/>
      <w:bookmarkStart w:id="587" w:name="_Toc226337236"/>
      <w:r/>
      <w:bookmarkStart w:id="588" w:name="_Toc150774640"/>
      <w:r/>
      <w:bookmarkStart w:id="589" w:name="_Toc195842905"/>
      <w:r/>
      <w:bookmarkStart w:id="590" w:name="_Toc164608809"/>
      <w:r/>
      <w:bookmarkStart w:id="591" w:name="_Toc15119371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150509296"/>
      <w:r/>
      <w:bookmarkStart w:id="595" w:name="_Toc151190172"/>
      <w:r/>
      <w:bookmarkStart w:id="596" w:name="_Toc150774645"/>
      <w:r/>
      <w:bookmarkStart w:id="597" w:name="_Toc305158813"/>
      <w:r/>
      <w:bookmarkStart w:id="598" w:name="_Toc127151545"/>
      <w:r/>
      <w:bookmarkStart w:id="599" w:name="_Toc226337241"/>
      <w:r/>
      <w:bookmarkStart w:id="600" w:name="_Toc226965735"/>
      <w:r/>
      <w:bookmarkStart w:id="601" w:name="_Toc226965818"/>
      <w:r/>
      <w:bookmarkStart w:id="602" w:name="_Toc151193787"/>
      <w:r/>
      <w:bookmarkStart w:id="603" w:name="_Toc151193715"/>
      <w:r/>
      <w:bookmarkStart w:id="604" w:name="_Toc226309789"/>
      <w:r/>
      <w:bookmarkStart w:id="605" w:name="_Toc150774750"/>
      <w:r/>
      <w:bookmarkStart w:id="606" w:name="_Toc142311047"/>
      <w:r/>
      <w:bookmarkStart w:id="607" w:name="_Toc150480783"/>
      <w:r/>
      <w:bookmarkStart w:id="608" w:name="_Toc151193859"/>
      <w:r/>
      <w:bookmarkStart w:id="609" w:name="_Toc195842910"/>
      <w:r/>
      <w:bookmarkStart w:id="610" w:name="_Toc305158887"/>
      <w:r/>
      <w:bookmarkStart w:id="611" w:name="_Toc265228383"/>
      <w:r/>
      <w:bookmarkStart w:id="612" w:name="_Toc264969235"/>
      <w:r/>
      <w:bookmarkStart w:id="613" w:name="_Toc151193643"/>
      <w:r/>
      <w:bookmarkStart w:id="614" w:name="_Toc15119393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151193789"/>
      <w:r/>
      <w:bookmarkStart w:id="617" w:name="_Toc164229242"/>
      <w:r/>
      <w:bookmarkStart w:id="618" w:name="_Toc305158815"/>
      <w:r/>
      <w:bookmarkStart w:id="619" w:name="_Toc150509298"/>
      <w:r/>
      <w:bookmarkStart w:id="620" w:name="_Toc195842912"/>
      <w:r/>
      <w:bookmarkStart w:id="621" w:name="_Toc127161461"/>
      <w:r/>
      <w:bookmarkStart w:id="622" w:name="_Toc265228385"/>
      <w:r/>
      <w:bookmarkStart w:id="623" w:name="_Toc226965820"/>
      <w:r/>
      <w:bookmarkStart w:id="624" w:name="_Toc305158889"/>
      <w:r/>
      <w:bookmarkStart w:id="625" w:name="_Toc151193935"/>
      <w:r/>
      <w:bookmarkStart w:id="626" w:name="_Toc151193861"/>
      <w:r/>
      <w:bookmarkStart w:id="627" w:name="_Toc127151547"/>
      <w:r/>
      <w:bookmarkStart w:id="628" w:name="_Toc164229388"/>
      <w:r/>
      <w:bookmarkStart w:id="629" w:name="_Toc151193645"/>
      <w:r/>
      <w:bookmarkStart w:id="630" w:name="_Toc150480785"/>
      <w:r/>
      <w:bookmarkStart w:id="631" w:name="_Toc164608816"/>
      <w:r/>
      <w:bookmarkStart w:id="632" w:name="_Toc142311049"/>
      <w:r/>
      <w:bookmarkStart w:id="633" w:name="_Toc226337243"/>
      <w:r/>
      <w:bookmarkStart w:id="634" w:name="_Toc164351641"/>
      <w:r/>
      <w:bookmarkStart w:id="635" w:name="_Toc264969237"/>
      <w:r/>
      <w:bookmarkStart w:id="636" w:name="_Toc151193717"/>
      <w:r/>
      <w:bookmarkStart w:id="637" w:name="_Toc150774647"/>
      <w:r/>
      <w:bookmarkStart w:id="638" w:name="_Toc149720840"/>
      <w:r/>
      <w:bookmarkStart w:id="639" w:name="_Toc151190174"/>
      <w:r/>
      <w:bookmarkStart w:id="640" w:name="_Toc164608661"/>
      <w:r/>
      <w:bookmarkStart w:id="641" w:name="_Toc127151748"/>
      <w:r/>
      <w:bookmarkStart w:id="642" w:name="_Toc226309791"/>
      <w:r/>
      <w:bookmarkStart w:id="643" w:name="_Toc150774752"/>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27151750"/>
      <w:r/>
      <w:bookmarkStart w:id="645" w:name="_Toc151190176"/>
      <w:r/>
      <w:bookmarkStart w:id="646" w:name="_Toc127151549"/>
      <w:r/>
      <w:bookmarkStart w:id="647" w:name="_Toc305158891"/>
      <w:r/>
      <w:bookmarkStart w:id="648" w:name="_Toc226337245"/>
      <w:r/>
      <w:bookmarkStart w:id="649" w:name="_Toc164229390"/>
      <w:r/>
      <w:bookmarkStart w:id="650" w:name="_Toc127161463"/>
      <w:r/>
      <w:bookmarkStart w:id="651" w:name="_Toc150480787"/>
      <w:r/>
      <w:bookmarkStart w:id="652" w:name="_Ref467306425"/>
      <w:r/>
      <w:bookmarkStart w:id="653" w:name="_Toc520356176"/>
      <w:r/>
      <w:bookmarkStart w:id="654" w:name="_Ref467307090"/>
      <w:r/>
      <w:bookmarkStart w:id="655" w:name="_Toc142311051"/>
      <w:r/>
      <w:bookmarkStart w:id="656" w:name="_Toc150774754"/>
      <w:r/>
      <w:bookmarkStart w:id="657" w:name="_Toc164229244"/>
      <w:r/>
      <w:bookmarkStart w:id="658" w:name="_Toc226309793"/>
      <w:r/>
      <w:bookmarkStart w:id="659" w:name="_Toc195842914"/>
      <w:r/>
      <w:bookmarkStart w:id="660" w:name="_Toc164608663"/>
      <w:r/>
      <w:bookmarkStart w:id="661" w:name="_Toc305158817"/>
      <w:r/>
      <w:bookmarkStart w:id="662" w:name="_Toc226965822"/>
      <w:r/>
      <w:bookmarkStart w:id="663" w:name="_Toc151193937"/>
      <w:r/>
      <w:bookmarkStart w:id="664" w:name="_Toc151193791"/>
      <w:r/>
      <w:bookmarkStart w:id="665" w:name="_Toc164351643"/>
      <w:r/>
      <w:bookmarkStart w:id="666" w:name="_Toc150774649"/>
      <w:r/>
      <w:bookmarkStart w:id="667" w:name="_Toc151193863"/>
      <w:r/>
      <w:bookmarkStart w:id="668" w:name="_Toc151193647"/>
      <w:r/>
      <w:bookmarkStart w:id="669" w:name="_Toc149720842"/>
      <w:r/>
      <w:bookmarkStart w:id="670" w:name="_Toc226965739"/>
      <w:r/>
      <w:bookmarkStart w:id="671" w:name="_Toc265228387"/>
      <w:r/>
      <w:bookmarkStart w:id="672" w:name="_Toc164608818"/>
      <w:r/>
      <w:bookmarkStart w:id="673" w:name="_Toc151193719"/>
      <w:r/>
      <w:bookmarkStart w:id="674" w:name="_Toc150509300"/>
      <w:r/>
      <w:bookmarkStart w:id="675" w:name="_Toc26496923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480788"/>
      <w:r/>
      <w:bookmarkStart w:id="677" w:name="_Toc164229391"/>
      <w:r/>
      <w:bookmarkStart w:id="678" w:name="_Toc151190177"/>
      <w:r/>
      <w:bookmarkStart w:id="679" w:name="_Toc226965823"/>
      <w:r/>
      <w:bookmarkStart w:id="680" w:name="_Ref467307204"/>
      <w:r/>
      <w:bookmarkStart w:id="681" w:name="_Toc264969240"/>
      <w:r/>
      <w:bookmarkStart w:id="682" w:name="_Toc164229245"/>
      <w:r/>
      <w:bookmarkStart w:id="683" w:name="_Ref467307062"/>
      <w:r/>
      <w:bookmarkStart w:id="684" w:name="_Toc151193864"/>
      <w:r/>
      <w:bookmarkStart w:id="685" w:name="_Toc142311052"/>
      <w:r/>
      <w:bookmarkStart w:id="686" w:name="_Toc164608664"/>
      <w:r/>
      <w:bookmarkStart w:id="687" w:name="_Toc305158818"/>
      <w:r/>
      <w:bookmarkStart w:id="688" w:name="_Toc151193648"/>
      <w:r/>
      <w:bookmarkStart w:id="689" w:name="_Toc127151751"/>
      <w:r/>
      <w:bookmarkStart w:id="690" w:name="_Toc150509301"/>
      <w:r/>
      <w:bookmarkStart w:id="691" w:name="_Toc164608819"/>
      <w:r/>
      <w:bookmarkStart w:id="692" w:name="_Toc226337246"/>
      <w:r/>
      <w:bookmarkStart w:id="693" w:name="_Toc151193792"/>
      <w:r/>
      <w:bookmarkStart w:id="694" w:name="_Toc520356175"/>
      <w:r/>
      <w:bookmarkStart w:id="695" w:name="_Toc305158892"/>
      <w:r/>
      <w:bookmarkStart w:id="696" w:name="_Ref467306978"/>
      <w:r/>
      <w:bookmarkStart w:id="697" w:name="_Toc150774755"/>
      <w:r/>
      <w:bookmarkStart w:id="698" w:name="_Toc265228388"/>
      <w:r/>
      <w:bookmarkStart w:id="699" w:name="_Toc127161464"/>
      <w:r/>
      <w:bookmarkStart w:id="700" w:name="_Toc151193938"/>
      <w:r/>
      <w:bookmarkStart w:id="701" w:name="_Toc151193720"/>
      <w:r/>
      <w:bookmarkStart w:id="702" w:name="_Ref467306377"/>
      <w:r/>
      <w:bookmarkStart w:id="703" w:name="_Toc226309794"/>
      <w:r/>
      <w:bookmarkStart w:id="704" w:name="_Toc149720843"/>
      <w:r/>
      <w:bookmarkStart w:id="705" w:name="_Toc164351644"/>
      <w:r/>
      <w:bookmarkStart w:id="706" w:name="_Toc150774650"/>
      <w:r/>
      <w:bookmarkStart w:id="707" w:name="_Toc195842915"/>
      <w:r/>
      <w:bookmarkStart w:id="708" w:name="_Toc127151550"/>
      <w:r/>
      <w:bookmarkStart w:id="709" w:name="_Toc22696574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4"/>
      <w:r/>
      <w:bookmarkStart w:id="712" w:name="_Hlt100653993"/>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226965827"/>
      <w:r/>
      <w:bookmarkStart w:id="715" w:name="_Toc150480792"/>
      <w:r/>
      <w:bookmarkStart w:id="716" w:name="_Toc305158896"/>
      <w:r/>
      <w:bookmarkStart w:id="717" w:name="_Toc142311056"/>
      <w:r/>
      <w:bookmarkStart w:id="718" w:name="_Toc353873934"/>
      <w:r/>
      <w:bookmarkStart w:id="719" w:name="_Toc127151554"/>
      <w:r/>
      <w:bookmarkStart w:id="720" w:name="_Toc305158822"/>
      <w:r/>
      <w:bookmarkStart w:id="721" w:name="_Toc265228392"/>
      <w:r/>
      <w:bookmarkStart w:id="722" w:name="_Toc150774759"/>
      <w:r/>
      <w:bookmarkStart w:id="723" w:name="_Toc353825544"/>
      <w:r/>
      <w:bookmarkStart w:id="724" w:name="_Toc226337250"/>
      <w:r/>
      <w:bookmarkStart w:id="725" w:name="_Toc26496924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127161490"/>
      <w:r/>
      <w:bookmarkStart w:id="733" w:name="_Toc35387394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608810"/>
      <w:r/>
      <w:bookmarkStart w:id="738" w:name="_Toc151190168"/>
      <w:r/>
      <w:bookmarkStart w:id="739" w:name="_Toc151193855"/>
      <w:r/>
      <w:bookmarkStart w:id="740" w:name="_Toc226965814"/>
      <w:r/>
      <w:bookmarkStart w:id="741" w:name="_Toc164229236"/>
      <w:r/>
      <w:bookmarkStart w:id="742" w:name="_Toc226965731"/>
      <w:r/>
      <w:bookmarkStart w:id="743" w:name="_Toc151193783"/>
      <w:r/>
      <w:bookmarkStart w:id="744" w:name="_Toc264969231"/>
      <w:r/>
      <w:bookmarkStart w:id="745" w:name="_Toc150774746"/>
      <w:r/>
      <w:bookmarkStart w:id="746" w:name="_Toc127161455"/>
      <w:r/>
      <w:bookmarkStart w:id="747" w:name="_Toc150480779"/>
      <w:r/>
      <w:bookmarkStart w:id="748" w:name="_Toc127151541"/>
      <w:r/>
      <w:bookmarkStart w:id="749" w:name="_Toc151193639"/>
      <w:r/>
      <w:bookmarkStart w:id="750" w:name="_Toc164351635"/>
      <w:r/>
      <w:bookmarkStart w:id="751" w:name="_Toc226337237"/>
      <w:r/>
      <w:bookmarkStart w:id="752" w:name="_Toc164608655"/>
      <w:r/>
      <w:bookmarkStart w:id="753" w:name="_Toc142311043"/>
      <w:r/>
      <w:bookmarkStart w:id="754" w:name="_Toc305158809"/>
      <w:r/>
      <w:bookmarkStart w:id="755" w:name="_Toc226309785"/>
      <w:r/>
      <w:bookmarkStart w:id="756" w:name="_Toc195842906"/>
      <w:r/>
      <w:bookmarkStart w:id="757" w:name="_Toc265228379"/>
      <w:r/>
      <w:bookmarkStart w:id="758" w:name="_Toc127151742"/>
      <w:r/>
      <w:bookmarkStart w:id="759" w:name="_Toc150774641"/>
      <w:r/>
      <w:bookmarkStart w:id="760" w:name="_Toc150509292"/>
      <w:r/>
      <w:bookmarkStart w:id="761" w:name="_Toc151193711"/>
      <w:r/>
      <w:bookmarkStart w:id="762" w:name="_Toc149720834"/>
      <w:r/>
      <w:bookmarkStart w:id="763" w:name="_Toc164229382"/>
      <w:r/>
      <w:bookmarkStart w:id="764" w:name="_Toc151193929"/>
      <w:r/>
      <w:bookmarkStart w:id="765" w:name="_Toc305158883"/>
      <w:r/>
      <w:bookmarkStart w:id="766" w:name="_Toc353873941"/>
      <w:r/>
      <w:bookmarkStart w:id="767" w:name="_Toc353825551"/>
      <w:r/>
      <w:bookmarkStart w:id="768" w:name="_Toc353825545"/>
      <w:r/>
      <w:bookmarkStart w:id="769" w:name="_Toc305158897"/>
      <w:r/>
      <w:bookmarkStart w:id="770" w:name="_Toc305158823"/>
      <w:r/>
      <w:bookmarkStart w:id="771" w:name="_Toc265228393"/>
      <w:r/>
      <w:bookmarkStart w:id="772" w:name="_Toc353873665"/>
      <w:r/>
      <w:bookmarkStart w:id="773" w:name="_Toc142311057"/>
      <w:r/>
      <w:bookmarkStart w:id="774" w:name="_Toc195842920"/>
      <w:r/>
      <w:bookmarkStart w:id="775" w:name="_Toc226337251"/>
      <w:r/>
      <w:bookmarkStart w:id="776" w:name="_Toc127151555"/>
      <w:r/>
      <w:bookmarkStart w:id="777" w:name="_Toc264969245"/>
      <w:r/>
      <w:bookmarkStart w:id="778" w:name="_Toc150774760"/>
      <w:r/>
      <w:bookmarkStart w:id="779" w:name="_Toc353873935"/>
      <w:r/>
      <w:bookmarkStart w:id="780" w:name="_Toc150480793"/>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27151747"/>
      <w:r/>
      <w:bookmarkStart w:id="784" w:name="_Toc150480784"/>
      <w:r/>
      <w:bookmarkStart w:id="785" w:name="_Toc150774646"/>
      <w:r/>
      <w:bookmarkStart w:id="786" w:name="_Toc151193716"/>
      <w:r/>
      <w:bookmarkStart w:id="787" w:name="_Toc305158888"/>
      <w:r/>
      <w:bookmarkStart w:id="788" w:name="_Toc226337242"/>
      <w:r/>
      <w:bookmarkStart w:id="789" w:name="_Toc164229241"/>
      <w:r/>
      <w:bookmarkStart w:id="790" w:name="_Toc164229387"/>
      <w:r/>
      <w:bookmarkStart w:id="791" w:name="_Toc264969236"/>
      <w:r/>
      <w:bookmarkStart w:id="792" w:name="_Toc151190173"/>
      <w:r/>
      <w:bookmarkStart w:id="793" w:name="_Toc520356170"/>
      <w:r/>
      <w:bookmarkStart w:id="794" w:name="_Toc226965819"/>
      <w:r/>
      <w:bookmarkStart w:id="795" w:name="_Toc305158814"/>
      <w:r/>
      <w:bookmarkStart w:id="796" w:name="_Toc127151546"/>
      <w:r/>
      <w:bookmarkStart w:id="797" w:name="_Toc164608815"/>
      <w:r/>
      <w:bookmarkStart w:id="798" w:name="_Toc195842911"/>
      <w:r/>
      <w:bookmarkStart w:id="799" w:name="_Toc151193860"/>
      <w:r/>
      <w:bookmarkStart w:id="800" w:name="_Toc151193644"/>
      <w:r/>
      <w:bookmarkStart w:id="801" w:name="_Toc149720839"/>
      <w:r/>
      <w:bookmarkStart w:id="802" w:name="_Toc164608660"/>
      <w:r/>
      <w:bookmarkStart w:id="803" w:name="_Toc265228384"/>
      <w:r/>
      <w:bookmarkStart w:id="804" w:name="_Toc151193788"/>
      <w:r/>
      <w:bookmarkStart w:id="805" w:name="_Toc150509297"/>
      <w:r/>
      <w:bookmarkStart w:id="806" w:name="_Toc164351640"/>
      <w:r/>
      <w:bookmarkStart w:id="807" w:name="_Toc142311048"/>
      <w:r/>
      <w:bookmarkStart w:id="808" w:name="_Toc127161460"/>
      <w:r/>
      <w:bookmarkStart w:id="809" w:name="_Toc151193934"/>
      <w:r/>
      <w:bookmarkStart w:id="810" w:name="_Toc226309790"/>
      <w:r/>
      <w:bookmarkStart w:id="811" w:name="_Ref467307010"/>
      <w:r/>
      <w:bookmarkStart w:id="812" w:name="_Toc150774751"/>
      <w:r/>
      <w:bookmarkStart w:id="813" w:name="_Toc22696573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10"/>
        <w:gridCol w:w="878"/>
        <w:gridCol w:w="3837"/>
        <w:gridCol w:w="2353"/>
      </w:tblGrid>
      <w:tr>
        <w:trPr/>
        <w:tc>
          <w:tcPr>
            <w:tcW w:w="433"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759"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3"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2066"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267" w:type="dxa"/>
            <w:vAlign w:val="center"/>
            <w:textDirection w:val="lrTb"/>
            <w:noWrap w:val="false"/>
          </w:tcPr>
          <w:p>
            <w:pPr>
              <w:pStyle w:val="1314"/>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631"/>
        </w:trPr>
        <w:tc>
          <w:tcPr>
            <w:tcW w:w="433" w:type="dxa"/>
            <w:vAlign w:val="center"/>
            <w:textDirection w:val="lrTb"/>
            <w:noWrap w:val="false"/>
          </w:tcPr>
          <w:p>
            <w:pPr>
              <w:pStyle w:val="1070"/>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0"/>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50</w:t>
            </w:r>
            <w:r>
              <w:rPr>
                <w:rFonts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804"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eastAsia="宋体" w:cs="宋体"/>
                <w:color w:val="000000"/>
                <w:sz w:val="24"/>
                <w:szCs w:val="24"/>
                <w:highlight w:val="none"/>
              </w:rPr>
              <w:t xml:space="preserve">2.1</w:t>
            </w:r>
            <w:r>
              <w:rPr>
                <w:rFonts w:ascii="宋体" w:hAnsi="宋体"/>
                <w:color w:val="000000"/>
                <w:sz w:val="24"/>
                <w:highlight w:val="none"/>
              </w:rPr>
            </w:r>
            <w:r/>
          </w:p>
        </w:tc>
        <w:tc>
          <w:tcPr>
            <w:tcW w:w="1410"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eastAsia="宋体" w:cs="宋体"/>
                <w:color w:val="000000"/>
                <w:sz w:val="24"/>
                <w:szCs w:val="24"/>
                <w:highlight w:val="none"/>
              </w:rPr>
              <w:t xml:space="preserve">服务方案</w:t>
            </w:r>
            <w:r>
              <w:rPr>
                <w:rFonts w:ascii="宋体" w:hAnsi="宋体"/>
                <w:color w:val="000000"/>
                <w:sz w:val="24"/>
                <w:highlight w:val="none"/>
              </w:rPr>
            </w:r>
            <w:r/>
          </w:p>
        </w:tc>
        <w:tc>
          <w:tcPr>
            <w:tcW w:w="880"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olor w:val="000000"/>
                <w:sz w:val="24"/>
                <w:highlight w:val="none"/>
                <w:lang w:val="en-US" w:eastAsia="zh-CN"/>
              </w:rPr>
            </w:r>
            <w:r/>
          </w:p>
        </w:tc>
        <w:tc>
          <w:tcPr>
            <w:tcW w:w="3837" w:type="dxa"/>
            <w:vAlign w:val="center"/>
            <w:textDirection w:val="lrTb"/>
            <w:noWrap w:val="false"/>
          </w:tcPr>
          <w:p>
            <w:pPr>
              <w:pStyle w:val="124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针对本项目制定服务方案，包括但不限于维修保养规章制度与操作规范，维护保养范围和维护保养计划等比较：</w:t>
            </w:r>
            <w:r>
              <w:rPr>
                <w:rFonts w:hint="eastAsia" w:ascii="宋体" w:hAnsi="宋体" w:eastAsia="宋体" w:cs="宋体"/>
                <w:color w:val="000000"/>
                <w:sz w:val="24"/>
                <w:szCs w:val="24"/>
                <w:highlight w:val="none"/>
              </w:rPr>
            </w:r>
            <w:r/>
          </w:p>
          <w:p>
            <w:pPr>
              <w:pStyle w:val="124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方案清晰合理，并能及时响应和积极配合采购人的有关要求：对项目总体认识全面深刻，对设备维护保养工作把握准确，有较强的系统性、经济性和完全响应性的，得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4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对项目总体认识全面，对设备维护保养工作规范可行、完全响应采购人要求的，得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4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对项目总体认识基本正确，对设备维护保养工作基本合理、基本响应采购人要求的，得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4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w:t>
            </w:r>
            <w:r>
              <w:rPr>
                <w:rFonts w:hint="eastAsia" w:ascii="宋体" w:hAnsi="宋体" w:eastAsia="宋体" w:cs="宋体"/>
                <w:color w:val="000000"/>
                <w:sz w:val="24"/>
                <w:szCs w:val="24"/>
                <w:highlight w:val="none"/>
                <w:lang w:val="en-US" w:eastAsia="zh-CN"/>
              </w:rPr>
              <w:t xml:space="preserve">偏差较大</w:t>
            </w:r>
            <w:r>
              <w:rPr>
                <w:rFonts w:hint="eastAsia" w:ascii="宋体" w:hAnsi="宋体" w:eastAsia="宋体" w:cs="宋体"/>
                <w:color w:val="000000"/>
                <w:sz w:val="24"/>
                <w:szCs w:val="24"/>
                <w:highlight w:val="none"/>
              </w:rPr>
              <w:t xml:space="preserve">，对设备维护保养工作</w:t>
            </w:r>
            <w:r>
              <w:rPr>
                <w:rFonts w:hint="eastAsia" w:ascii="宋体" w:hAnsi="宋体" w:eastAsia="宋体" w:cs="宋体"/>
                <w:color w:val="000000"/>
                <w:sz w:val="24"/>
                <w:szCs w:val="24"/>
                <w:highlight w:val="none"/>
                <w:lang w:val="en-US" w:eastAsia="zh-CN"/>
              </w:rPr>
              <w:t xml:space="preserve">不太</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没有完全</w:t>
            </w:r>
            <w:r>
              <w:rPr>
                <w:rFonts w:hint="eastAsia" w:ascii="宋体" w:hAnsi="宋体" w:eastAsia="宋体" w:cs="宋体"/>
                <w:color w:val="000000"/>
                <w:sz w:val="24"/>
                <w:szCs w:val="24"/>
                <w:highlight w:val="none"/>
              </w:rPr>
              <w:t xml:space="preserve">响应采购人要求的，得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rPr>
                <w:rFonts w:ascii="宋体" w:hAnsi="宋体"/>
                <w:color w:val="000000"/>
                <w:sz w:val="24"/>
                <w:highlight w:val="none"/>
              </w:rPr>
            </w:pPr>
            <w:r>
              <w:rPr>
                <w:rFonts w:hint="eastAsia" w:ascii="宋体" w:hAnsi="宋体" w:eastAsia="宋体" w:cs="宋体"/>
                <w:color w:val="000000"/>
                <w:sz w:val="24"/>
                <w:szCs w:val="24"/>
                <w:highlight w:val="none"/>
              </w:rPr>
              <w:t xml:space="preserve">未作说明不得分。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804"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ascii="宋体" w:hAnsi="宋体" w:eastAsia="宋体"/>
                <w:color w:val="000000"/>
                <w:sz w:val="24"/>
                <w:highlight w:val="none"/>
                <w:lang w:val="en-US" w:eastAsia="zh-CN"/>
              </w:rPr>
            </w:r>
            <w:r/>
          </w:p>
        </w:tc>
        <w:tc>
          <w:tcPr>
            <w:tcW w:w="1410"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eastAsia="宋体" w:cs="宋体"/>
                <w:color w:val="000000"/>
                <w:sz w:val="24"/>
                <w:szCs w:val="24"/>
                <w:highlight w:val="none"/>
              </w:rPr>
              <w:t xml:space="preserve">操作规范方案</w:t>
            </w:r>
            <w:r>
              <w:rPr>
                <w:rFonts w:ascii="宋体" w:hAnsi="宋体"/>
                <w:color w:val="000000"/>
                <w:sz w:val="24"/>
                <w:highlight w:val="none"/>
              </w:rPr>
            </w:r>
            <w:r/>
          </w:p>
        </w:tc>
        <w:tc>
          <w:tcPr>
            <w:tcW w:w="880"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olor w:val="000000"/>
                <w:sz w:val="24"/>
                <w:highlight w:val="none"/>
                <w:lang w:val="en-US" w:eastAsia="zh-CN"/>
              </w:rPr>
            </w:r>
            <w:r/>
          </w:p>
        </w:tc>
        <w:tc>
          <w:tcPr>
            <w:tcW w:w="3837" w:type="dxa"/>
            <w:vAlign w:val="center"/>
            <w:textDirection w:val="lrTb"/>
            <w:noWrap w:val="false"/>
          </w:tcPr>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针对本项目提出操作规范方案，包括但不限于维护保养程序、维修设备工具、故障报告及故障预防措施、资料档案管理方案：</w:t>
            </w:r>
            <w:r>
              <w:rPr>
                <w:rFonts w:hint="eastAsia" w:ascii="宋体" w:hAnsi="宋体" w:eastAsia="宋体" w:cs="宋体"/>
                <w:color w:val="000000"/>
                <w:sz w:val="24"/>
                <w:szCs w:val="24"/>
                <w:highlight w:val="none"/>
              </w:rPr>
            </w:r>
            <w:r/>
          </w:p>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程序清晰规范高效、维修设备工具储备多更换及时、预防措施具有合理化建议、管理方案规范合理清晰责任明确的，得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程序规范合理、维修设备工具具有一定的储备、预防措施较合理、管理方案规范合理的，得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程序规范、维修设备工具基本满足需求、预防措施和管理方案较合理简单的，得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程序规范、维修设备工具</w:t>
            </w:r>
            <w:r>
              <w:rPr>
                <w:rFonts w:hint="eastAsia" w:ascii="宋体" w:hAnsi="宋体" w:eastAsia="宋体" w:cs="宋体"/>
                <w:color w:val="000000"/>
                <w:sz w:val="24"/>
                <w:szCs w:val="24"/>
                <w:highlight w:val="none"/>
                <w:lang w:val="en-US" w:eastAsia="zh-CN"/>
              </w:rPr>
              <w:t xml:space="preserve">不完全满足</w:t>
            </w:r>
            <w:r>
              <w:rPr>
                <w:rFonts w:hint="eastAsia" w:ascii="宋体" w:hAnsi="宋体" w:eastAsia="宋体" w:cs="宋体"/>
                <w:color w:val="000000"/>
                <w:sz w:val="24"/>
                <w:szCs w:val="24"/>
                <w:highlight w:val="none"/>
              </w:rPr>
              <w:t xml:space="preserve">需求、预防措施和管理方案</w:t>
            </w:r>
            <w:r>
              <w:rPr>
                <w:rFonts w:hint="eastAsia" w:ascii="宋体" w:hAnsi="宋体" w:eastAsia="宋体" w:cs="宋体"/>
                <w:color w:val="000000"/>
                <w:sz w:val="24"/>
                <w:szCs w:val="24"/>
                <w:highlight w:val="none"/>
                <w:lang w:val="en-US" w:eastAsia="zh-CN"/>
              </w:rPr>
              <w:t xml:space="preserve">模糊不清晰</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rPr>
                <w:rFonts w:ascii="宋体" w:hAnsi="宋体"/>
                <w:color w:val="000000"/>
                <w:sz w:val="24"/>
                <w:highlight w:val="none"/>
              </w:rPr>
            </w:pPr>
            <w:r>
              <w:rPr>
                <w:rFonts w:hint="eastAsia" w:ascii="宋体" w:hAnsi="宋体" w:eastAsia="宋体" w:cs="宋体"/>
                <w:color w:val="000000"/>
                <w:sz w:val="24"/>
                <w:szCs w:val="24"/>
                <w:highlight w:val="none"/>
              </w:rPr>
              <w:t xml:space="preserve">未作说明不得分。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804"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ascii="宋体" w:hAnsi="宋体" w:eastAsia="宋体"/>
                <w:color w:val="000000"/>
                <w:sz w:val="24"/>
                <w:highlight w:val="none"/>
                <w:lang w:val="en-US" w:eastAsia="zh-CN"/>
              </w:rPr>
            </w:r>
            <w:r/>
          </w:p>
        </w:tc>
        <w:tc>
          <w:tcPr>
            <w:tcW w:w="1410"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eastAsia="宋体" w:cs="宋体"/>
                <w:color w:val="000000"/>
                <w:sz w:val="24"/>
                <w:szCs w:val="24"/>
                <w:highlight w:val="none"/>
              </w:rPr>
              <w:t xml:space="preserve">日常维护培训</w:t>
            </w:r>
            <w:r>
              <w:rPr>
                <w:rFonts w:ascii="宋体" w:hAnsi="宋体"/>
                <w:color w:val="000000"/>
                <w:sz w:val="24"/>
                <w:highlight w:val="none"/>
              </w:rPr>
            </w:r>
            <w:r/>
          </w:p>
        </w:tc>
        <w:tc>
          <w:tcPr>
            <w:tcW w:w="880"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olor w:val="000000"/>
                <w:sz w:val="24"/>
                <w:highlight w:val="none"/>
                <w:lang w:val="en-US" w:eastAsia="zh-CN"/>
              </w:rPr>
            </w:r>
            <w:r/>
          </w:p>
        </w:tc>
        <w:tc>
          <w:tcPr>
            <w:tcW w:w="3837" w:type="dxa"/>
            <w:vAlign w:val="center"/>
            <w:textDirection w:val="lrTb"/>
            <w:noWrap w:val="false"/>
          </w:tcPr>
          <w:p>
            <w:pPr>
              <w:pStyle w:val="1248"/>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针对本项目维保期间的需求，提供日常维护培训方案</w:t>
            </w:r>
            <w:r>
              <w:rPr>
                <w:rFonts w:hint="eastAsia" w:ascii="宋体" w:hAnsi="宋体" w:eastAsia="宋体" w:cs="宋体"/>
                <w:color w:val="000000"/>
                <w:sz w:val="24"/>
                <w:szCs w:val="24"/>
                <w:highlight w:val="none"/>
                <w:lang w:val="en-US" w:eastAsia="zh-CN"/>
              </w:rPr>
              <w:t xml:space="preserve">，内容包括但不限于培训步骤、培训计划、培训内容等。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248"/>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培训方案详尽，对提升临床应用水平、提高维修技术人员能力有显著帮助的，得</w:t>
            </w:r>
            <w:r>
              <w:rPr>
                <w:rFonts w:hint="eastAsia" w:ascii="宋体" w:hAnsi="宋体" w:eastAsia="宋体" w:cs="宋体"/>
                <w:color w:val="000000"/>
                <w:sz w:val="24"/>
                <w:szCs w:val="24"/>
                <w:highlight w:val="none"/>
                <w:lang w:val="en-US" w:eastAsia="zh-CN"/>
              </w:rPr>
              <w:t xml:space="preserve">10分；  </w:t>
            </w:r>
            <w:r>
              <w:rPr>
                <w:rFonts w:hint="eastAsia" w:ascii="宋体" w:hAnsi="宋体" w:eastAsia="宋体" w:cs="宋体"/>
                <w:color w:val="000000"/>
                <w:sz w:val="24"/>
                <w:szCs w:val="24"/>
                <w:highlight w:val="none"/>
                <w:lang w:eastAsia="zh-CN"/>
              </w:rPr>
            </w:r>
            <w:r/>
          </w:p>
          <w:p>
            <w:pPr>
              <w:pStyle w:val="1248"/>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培训方案比较完整，对提升临床应用水平、提高维修技术人员能力有一定帮助的，得</w:t>
            </w:r>
            <w:r>
              <w:rPr>
                <w:rFonts w:hint="eastAsia" w:ascii="宋体" w:hAnsi="宋体" w:eastAsia="宋体" w:cs="宋体"/>
                <w:color w:val="000000"/>
                <w:sz w:val="24"/>
                <w:szCs w:val="24"/>
                <w:highlight w:val="none"/>
                <w:lang w:val="en-US" w:eastAsia="zh-CN"/>
              </w:rPr>
              <w:t xml:space="preserve">7分；  </w:t>
            </w:r>
            <w:r>
              <w:rPr>
                <w:rFonts w:hint="eastAsia" w:ascii="宋体" w:hAnsi="宋体" w:eastAsia="宋体" w:cs="宋体"/>
                <w:color w:val="000000"/>
                <w:sz w:val="24"/>
                <w:szCs w:val="24"/>
                <w:highlight w:val="none"/>
                <w:lang w:eastAsia="zh-CN"/>
              </w:rPr>
            </w:r>
            <w:r/>
          </w:p>
          <w:p>
            <w:pPr>
              <w:pStyle w:val="1248"/>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w:t>
            </w:r>
            <w:r>
              <w:rPr>
                <w:rFonts w:hint="eastAsia" w:ascii="宋体" w:hAnsi="宋体" w:eastAsia="宋体" w:cs="宋体"/>
                <w:color w:val="000000"/>
                <w:sz w:val="24"/>
                <w:szCs w:val="24"/>
                <w:highlight w:val="none"/>
                <w:lang w:val="en-US" w:eastAsia="zh-CN"/>
              </w:rPr>
              <w:t xml:space="preserve">不够全面，但对提升临床应用水平、提高维修技术人员能力有一定帮助的，得4分；  </w:t>
            </w:r>
            <w:r>
              <w:rPr>
                <w:rFonts w:hint="eastAsia" w:ascii="宋体" w:hAnsi="宋体" w:eastAsia="宋体" w:cs="宋体"/>
                <w:color w:val="000000"/>
                <w:sz w:val="24"/>
                <w:szCs w:val="24"/>
                <w:highlight w:val="none"/>
                <w:lang w:eastAsia="zh-CN"/>
              </w:rPr>
            </w:r>
            <w:r/>
          </w:p>
          <w:p>
            <w:pPr>
              <w:pStyle w:val="1248"/>
              <w:spacing w:line="360" w:lineRule="exact"/>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培训方案简略，对提升用户日常使用能力、提高维修人员技术水平无显著帮助的，得</w:t>
            </w:r>
            <w:r>
              <w:rPr>
                <w:rFonts w:hint="eastAsia" w:ascii="宋体" w:hAnsi="宋体" w:eastAsia="宋体" w:cs="宋体"/>
                <w:color w:val="000000"/>
                <w:sz w:val="24"/>
                <w:szCs w:val="24"/>
                <w:highlight w:val="none"/>
                <w:lang w:val="en-US" w:eastAsia="zh-CN"/>
              </w:rPr>
              <w:t xml:space="preserve">1分；  </w:t>
            </w:r>
            <w:r>
              <w:rPr>
                <w:rFonts w:hint="eastAsia" w:eastAsia="宋体"/>
                <w:color w:val="000000"/>
                <w:highlight w:val="none"/>
                <w:lang w:eastAsia="zh-CN"/>
              </w:rPr>
            </w:r>
            <w:r/>
          </w:p>
          <w:p>
            <w:pPr>
              <w:pStyle w:val="1070"/>
              <w:rPr>
                <w:rFonts w:ascii="宋体" w:hAnsi="宋体"/>
                <w:color w:val="000000"/>
                <w:sz w:val="24"/>
                <w:highlight w:val="none"/>
              </w:rPr>
            </w:pPr>
            <w:r>
              <w:rPr>
                <w:rFonts w:hint="eastAsia" w:ascii="宋体" w:hAnsi="宋体" w:eastAsia="宋体" w:cs="宋体"/>
                <w:color w:val="000000"/>
                <w:sz w:val="24"/>
                <w:szCs w:val="24"/>
                <w:highlight w:val="none"/>
              </w:rPr>
              <w:t xml:space="preserve">内容较差或</w:t>
            </w:r>
            <w:r>
              <w:rPr>
                <w:rFonts w:hint="eastAsia" w:ascii="宋体" w:hAnsi="宋体" w:eastAsia="宋体" w:cs="宋体"/>
                <w:color w:val="000000"/>
                <w:sz w:val="24"/>
                <w:szCs w:val="24"/>
                <w:highlight w:val="none"/>
              </w:rPr>
              <w:t xml:space="preserve">未作说明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804"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ascii="宋体" w:hAnsi="宋体" w:eastAsia="宋体"/>
                <w:color w:val="000000"/>
                <w:sz w:val="24"/>
                <w:highlight w:val="none"/>
                <w:lang w:val="en-US" w:eastAsia="zh-CN"/>
              </w:rPr>
            </w:r>
            <w:r/>
          </w:p>
        </w:tc>
        <w:tc>
          <w:tcPr>
            <w:tcW w:w="1410"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检查计划</w:t>
            </w:r>
            <w:r>
              <w:rPr>
                <w:rFonts w:hint="eastAsia" w:ascii="宋体" w:hAnsi="宋体"/>
                <w:color w:val="000000"/>
                <w:sz w:val="24"/>
                <w:highlight w:val="none"/>
              </w:rPr>
            </w:r>
            <w:r/>
          </w:p>
        </w:tc>
        <w:tc>
          <w:tcPr>
            <w:tcW w:w="880"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olor w:val="000000"/>
                <w:sz w:val="24"/>
                <w:highlight w:val="none"/>
                <w:lang w:val="en-US" w:eastAsia="zh-CN"/>
              </w:rPr>
            </w:r>
            <w:r/>
          </w:p>
        </w:tc>
        <w:tc>
          <w:tcPr>
            <w:tcW w:w="3837" w:type="dxa"/>
            <w:vAlign w:val="center"/>
            <w:textDirection w:val="lrTb"/>
            <w:noWrap w:val="false"/>
          </w:tcPr>
          <w:p>
            <w:pPr>
              <w:pStyle w:val="1070"/>
              <w:rPr>
                <w:rFonts w:hint="eastAsia" w:eastAsia="宋体"/>
                <w:color w:val="000000"/>
                <w:highlight w:val="none"/>
                <w:lang w:eastAsia="zh-CN"/>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针对本项目维保期间的需求，提供</w:t>
            </w:r>
            <w:r>
              <w:rPr>
                <w:rFonts w:hint="eastAsia" w:ascii="宋体" w:hAnsi="宋体" w:eastAsia="宋体" w:cs="宋体"/>
                <w:color w:val="000000"/>
                <w:sz w:val="24"/>
                <w:szCs w:val="24"/>
                <w:highlight w:val="none"/>
              </w:rPr>
              <w:t xml:space="preserve">检查计划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t xml:space="preserve">依据厂家设备标准及国家相关部门规范，制定包含机械安全检查、电气安全检查等内容的检查计划，并记录检查结果：  </w:t>
            </w:r>
            <w:r>
              <w:rPr>
                <w:rFonts w:hint="eastAsia" w:eastAsia="宋体"/>
                <w:color w:val="000000"/>
                <w:highlight w:val="none"/>
                <w:lang w:eastAsia="zh-CN"/>
              </w:rPr>
            </w:r>
            <w:r/>
          </w:p>
          <w:p>
            <w:pPr>
              <w:pStyle w:val="107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工作计划详细、时间明确、条理清晰且检查内容全面的，得</w:t>
            </w:r>
            <w:r>
              <w:rPr>
                <w:rFonts w:hint="eastAsia" w:ascii="宋体" w:hAnsi="宋体" w:eastAsia="宋体" w:cs="宋体"/>
                <w:color w:val="000000"/>
                <w:sz w:val="24"/>
                <w:szCs w:val="24"/>
                <w:highlight w:val="none"/>
                <w:lang w:val="en-US" w:eastAsia="zh-CN"/>
              </w:rPr>
              <w:t xml:space="preserve">10分；  </w:t>
            </w:r>
            <w:r>
              <w:rPr>
                <w:rFonts w:hint="eastAsia" w:eastAsia="宋体"/>
                <w:color w:val="000000"/>
                <w:highlight w:val="none"/>
                <w:lang w:eastAsia="zh-CN"/>
              </w:rPr>
            </w:r>
            <w:r/>
          </w:p>
          <w:p>
            <w:pPr>
              <w:pStyle w:val="107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w:t>
            </w:r>
            <w:r>
              <w:rPr>
                <w:rFonts w:hint="eastAsia" w:ascii="宋体" w:hAnsi="宋体" w:eastAsia="宋体" w:cs="宋体"/>
                <w:color w:val="000000"/>
                <w:sz w:val="24"/>
                <w:szCs w:val="24"/>
                <w:highlight w:val="none"/>
                <w:lang w:val="en-US" w:eastAsia="zh-CN"/>
              </w:rPr>
              <w:t xml:space="preserve">较为详细、条理较清晰且检查内容较为全面的，得7分；  </w:t>
            </w:r>
            <w:r>
              <w:rPr>
                <w:rFonts w:hint="eastAsia" w:eastAsia="宋体"/>
                <w:color w:val="000000"/>
                <w:highlight w:val="none"/>
                <w:lang w:eastAsia="zh-CN"/>
              </w:rPr>
            </w:r>
            <w:r/>
          </w:p>
          <w:p>
            <w:pPr>
              <w:pStyle w:val="107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工作计划一般、条理</w:t>
            </w:r>
            <w:r>
              <w:rPr>
                <w:rFonts w:hint="eastAsia" w:ascii="宋体" w:hAnsi="宋体" w:eastAsia="宋体" w:cs="宋体"/>
                <w:color w:val="000000"/>
                <w:sz w:val="24"/>
                <w:szCs w:val="24"/>
                <w:highlight w:val="none"/>
                <w:lang w:val="en-US" w:eastAsia="zh-CN"/>
              </w:rPr>
              <w:t xml:space="preserve">不够清晰且检查内容有欠缺的，得4分；  </w:t>
            </w:r>
            <w:r>
              <w:rPr>
                <w:rFonts w:hint="eastAsia" w:eastAsia="宋体"/>
                <w:color w:val="000000"/>
                <w:highlight w:val="none"/>
                <w:lang w:eastAsia="zh-CN"/>
              </w:rPr>
            </w:r>
            <w:r/>
          </w:p>
          <w:p>
            <w:pPr>
              <w:pStyle w:val="107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工作计划简单、时间模糊且检查内容粗略的，得</w:t>
            </w:r>
            <w:r>
              <w:rPr>
                <w:rFonts w:hint="eastAsia" w:ascii="宋体" w:hAnsi="宋体" w:eastAsia="宋体" w:cs="宋体"/>
                <w:color w:val="000000"/>
                <w:sz w:val="24"/>
                <w:szCs w:val="24"/>
                <w:highlight w:val="none"/>
                <w:lang w:val="en-US" w:eastAsia="zh-CN"/>
              </w:rPr>
              <w:t xml:space="preserve">1分；  </w:t>
            </w:r>
            <w:r>
              <w:rPr>
                <w:rFonts w:hint="eastAsia" w:eastAsia="宋体"/>
                <w:color w:val="000000"/>
                <w:highlight w:val="none"/>
                <w:lang w:eastAsia="zh-CN"/>
              </w:rPr>
            </w:r>
            <w:r/>
          </w:p>
          <w:p>
            <w:pPr>
              <w:pStyle w:val="1070"/>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内容较差或未提供</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804"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color w:val="000000"/>
                <w:sz w:val="24"/>
                <w:highlight w:val="none"/>
                <w:lang w:val="en-US" w:eastAsia="zh-CN"/>
              </w:rPr>
            </w:r>
            <w:r/>
          </w:p>
        </w:tc>
        <w:tc>
          <w:tcPr>
            <w:tcW w:w="1410" w:type="dxa"/>
            <w:vAlign w:val="center"/>
            <w:textDirection w:val="lrTb"/>
            <w:noWrap w:val="false"/>
          </w:tcPr>
          <w:p>
            <w:pPr>
              <w:pStyle w:val="1070"/>
              <w:ind w:firstLine="28"/>
              <w:jc w:val="center"/>
              <w:rPr>
                <w:rFonts w:hint="eastAsia" w:ascii="宋体" w:hAnsi="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质量控制方案</w:t>
            </w:r>
            <w:r>
              <w:rPr>
                <w:rFonts w:hint="eastAsia" w:ascii="宋体" w:hAnsi="宋体"/>
                <w:color w:val="000000"/>
                <w:sz w:val="24"/>
                <w:szCs w:val="24"/>
                <w:highlight w:val="none"/>
                <w:lang w:val="en-US" w:eastAsia="zh-CN" w:bidi="ar-SA"/>
              </w:rPr>
            </w:r>
            <w:r/>
          </w:p>
        </w:tc>
        <w:tc>
          <w:tcPr>
            <w:tcW w:w="880" w:type="dxa"/>
            <w:vAlign w:val="center"/>
            <w:textDirection w:val="lrTb"/>
            <w:noWrap w:val="false"/>
          </w:tcPr>
          <w:p>
            <w:pPr>
              <w:pStyle w:val="1070"/>
              <w:ind w:firstLine="28"/>
              <w:jc w:val="center"/>
              <w:rPr>
                <w:rFonts w:hint="eastAsia" w:ascii="宋体" w:hAnsi="宋体" w:eastAsia="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olor w:val="000000"/>
                <w:sz w:val="24"/>
                <w:szCs w:val="24"/>
                <w:highlight w:val="none"/>
                <w:lang w:val="en-US" w:eastAsia="zh-CN" w:bidi="ar-SA"/>
              </w:rPr>
            </w:r>
            <w:r/>
          </w:p>
        </w:tc>
        <w:tc>
          <w:tcPr>
            <w:tcW w:w="3837"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w:t>
            </w:r>
            <w:r>
              <w:rPr>
                <w:rFonts w:hint="eastAsia" w:ascii="宋体" w:hAnsi="宋体" w:eastAsia="宋体" w:cs="宋体"/>
                <w:color w:val="000000"/>
                <w:sz w:val="24"/>
                <w:szCs w:val="24"/>
                <w:highlight w:val="none"/>
              </w:rPr>
              <w:t xml:space="preserve">提供针对本项目所制定的质量控制方案：</w:t>
            </w:r>
            <w:r>
              <w:rPr>
                <w:rFonts w:hint="eastAsia" w:ascii="宋体" w:hAnsi="宋体" w:eastAsia="宋体" w:cs="宋体"/>
                <w:color w:val="000000"/>
                <w:sz w:val="24"/>
                <w:szCs w:val="24"/>
                <w:highlight w:val="none"/>
              </w:rPr>
            </w:r>
            <w:r/>
          </w:p>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提供的措施质量目标明确、质量控制制度健全、质量保障措施完善的得10分；</w:t>
            </w:r>
            <w:r>
              <w:rPr>
                <w:rFonts w:hint="eastAsia" w:ascii="宋体" w:hAnsi="宋体" w:eastAsia="宋体" w:cs="宋体"/>
                <w:color w:val="000000"/>
                <w:sz w:val="24"/>
                <w:szCs w:val="24"/>
                <w:highlight w:val="none"/>
              </w:rPr>
            </w:r>
            <w:r/>
          </w:p>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提供的措施质量目标较为明确，质量控制制度较全面、质量保障措施较完善的得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提供的措施质量目标基本明确，质量控制制度、质量保障措施基本可行的得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提供的措施质量目标模糊，质量控制制度一般、质量保障措施简单的得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内容较差或未提供不得分。</w:t>
            </w:r>
            <w:r>
              <w:rPr>
                <w:rFonts w:ascii="宋体" w:hAnsi="宋体" w:eastAsia="宋体" w:cs="宋体"/>
                <w:color w:val="000000"/>
                <w:sz w:val="24"/>
                <w:szCs w:val="24"/>
                <w:highlight w:val="none"/>
                <w:lang w:val="en-US" w:eastAsia="zh-CN"/>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40</w:t>
            </w:r>
            <w:r>
              <w:rPr>
                <w:rFonts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技术指标</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s="宋体"/>
                <w:color w:val="000000"/>
                <w:sz w:val="24"/>
                <w:highlight w:val="none"/>
                <w:lang w:val="zh-CN"/>
              </w:rPr>
              <w:t xml:space="preserve">完全满足招标文件“</w:t>
            </w:r>
            <w:r>
              <w:rPr>
                <w:rFonts w:hint="eastAsia" w:ascii="宋体" w:hAnsi="宋体" w:cs="宋体"/>
                <w:b/>
                <w:bCs/>
                <w:color w:val="000000"/>
                <w:sz w:val="24"/>
                <w:highlight w:val="none"/>
                <w:lang w:val="en-US" w:eastAsia="zh-CN"/>
              </w:rPr>
              <w:t xml:space="preserve">技术要求</w:t>
            </w:r>
            <w:r>
              <w:rPr>
                <w:rFonts w:hint="eastAsia" w:ascii="宋体" w:hAnsi="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分；有</w:t>
            </w:r>
            <w:r>
              <w:rPr>
                <w:rFonts w:hint="eastAsia" w:ascii="宋体" w:hAnsi="宋体" w:cs="宋体"/>
                <w:color w:val="000000"/>
                <w:sz w:val="24"/>
                <w:highlight w:val="none"/>
                <w:lang w:val="en-US" w:eastAsia="zh-CN"/>
              </w:rPr>
              <w:t xml:space="preserve">任意</w:t>
            </w:r>
            <w:r>
              <w:rPr>
                <w:rFonts w:hint="eastAsia" w:ascii="宋体" w:hAnsi="宋体" w:cs="宋体"/>
                <w:color w:val="000000"/>
                <w:sz w:val="24"/>
                <w:highlight w:val="none"/>
                <w:lang w:val="zh-CN"/>
              </w:rPr>
              <w:t xml:space="preserve">一项负偏离</w:t>
            </w:r>
            <w:r>
              <w:rPr>
                <w:rFonts w:hint="eastAsia" w:ascii="宋体" w:hAnsi="宋体" w:cs="宋体"/>
                <w:color w:val="000000"/>
                <w:sz w:val="24"/>
                <w:highlight w:val="none"/>
                <w:lang w:val="en-US" w:eastAsia="zh-CN"/>
              </w:rPr>
              <w:t xml:space="preserve">本项不得分</w:t>
            </w:r>
            <w:r>
              <w:rPr>
                <w:rFonts w:hint="eastAsia" w:ascii="宋体" w:hAnsi="宋体" w:cs="宋体"/>
                <w:color w:val="000000"/>
                <w:sz w:val="24"/>
                <w:highlight w:val="none"/>
                <w:lang w:val="zh-CN"/>
              </w:rPr>
              <w:t xml:space="preserve">。</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3.2</w:t>
            </w:r>
            <w:r>
              <w:rPr>
                <w:rFonts w:ascii="宋体" w:hAnsi="宋体" w:eastAsia="宋体"/>
                <w:color w:val="000000"/>
                <w:sz w:val="24"/>
                <w:highlight w:val="none"/>
                <w:lang w:val="en-US" w:eastAsia="zh-CN"/>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业绩</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自2023年1月1日（以合同签订日期为准</w:t>
            </w:r>
            <w:r>
              <w:rPr>
                <w:rFonts w:hint="eastAsia" w:ascii="宋体" w:hAnsi="宋体" w:eastAsia="宋体" w:cs="Times New Roman"/>
                <w:color w:val="000000"/>
                <w:sz w:val="24"/>
                <w:highlight w:val="none"/>
              </w:rPr>
              <w:t xml:space="preserve">）以来，承担过的</w:t>
            </w:r>
            <w:r>
              <w:rPr>
                <w:rFonts w:hint="eastAsia" w:ascii="宋体" w:hAnsi="宋体" w:eastAsia="宋体" w:cs="Times New Roman"/>
                <w:color w:val="000000"/>
                <w:sz w:val="24"/>
                <w:highlight w:val="none"/>
                <w:lang w:val="en-US" w:eastAsia="zh-CN"/>
              </w:rPr>
              <w:t xml:space="preserve">飞利浦CT</w:t>
            </w:r>
            <w:r>
              <w:rPr>
                <w:rFonts w:hint="eastAsia" w:ascii="宋体" w:hAnsi="宋体" w:eastAsia="宋体" w:cs="Times New Roman"/>
                <w:color w:val="000000"/>
                <w:sz w:val="24"/>
                <w:highlight w:val="none"/>
              </w:rPr>
              <w:t xml:space="preserve">维保服务项目业绩，每提供</w:t>
            </w:r>
            <w:r>
              <w:rPr>
                <w:rFonts w:hint="eastAsia" w:ascii="宋体" w:hAnsi="宋体" w:eastAsia="宋体" w:cs="Times New Roman"/>
                <w:color w:val="000000"/>
                <w:sz w:val="24"/>
                <w:highlight w:val="none"/>
                <w:lang w:val="en-US" w:eastAsia="zh-CN"/>
              </w:rPr>
              <w:t xml:space="preserve">1份</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最高得</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b/>
                <w:bCs/>
                <w:color w:val="000000"/>
                <w:sz w:val="24"/>
                <w:highlight w:val="none"/>
              </w:rPr>
              <w:t xml:space="preserve">提供合同</w:t>
            </w:r>
            <w:r>
              <w:rPr>
                <w:rFonts w:hint="eastAsia" w:ascii="宋体" w:hAnsi="宋体"/>
                <w:b/>
                <w:bCs/>
                <w:color w:val="000000"/>
                <w:sz w:val="24"/>
                <w:highlight w:val="none"/>
                <w:lang w:val="en-US" w:eastAsia="zh-CN"/>
              </w:rPr>
              <w:t xml:space="preserve">扫描</w:t>
            </w:r>
            <w:r>
              <w:rPr>
                <w:rFonts w:hint="eastAsia" w:ascii="宋体" w:hAnsi="宋体"/>
                <w:b/>
                <w:bCs/>
                <w:color w:val="000000"/>
                <w:sz w:val="24"/>
                <w:highlight w:val="none"/>
              </w:rPr>
              <w:t xml:space="preserve">件和中标通知书（或中标结果公示截图），以上材料缺一不可；提供不全或未提供不得分。</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3.3</w:t>
            </w:r>
            <w:r>
              <w:rPr>
                <w:rFonts w:ascii="宋体" w:hAnsi="宋体"/>
                <w:color w:val="000000"/>
                <w:sz w:val="24"/>
                <w:highlight w:val="none"/>
                <w:lang w:val="en-US" w:eastAsia="zh-CN"/>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企业认证</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具有有效期内的质量管理体系认证、环境管理体系认证、职业健康管理体系认证证书，</w:t>
            </w:r>
            <w:r>
              <w:rPr>
                <w:rFonts w:hint="eastAsia" w:ascii="宋体" w:hAnsi="宋体"/>
                <w:color w:val="000000"/>
                <w:sz w:val="24"/>
                <w:highlight w:val="none"/>
                <w:lang w:val="en-US" w:eastAsia="zh-CN"/>
              </w:rPr>
              <w:t xml:space="preserve">每</w:t>
            </w:r>
            <w:r>
              <w:rPr>
                <w:rFonts w:hint="eastAsia" w:ascii="宋体" w:hAnsi="宋体"/>
                <w:color w:val="000000"/>
                <w:sz w:val="24"/>
                <w:highlight w:val="none"/>
              </w:rPr>
              <w:t xml:space="preserve">提供1个得2分，最高得6分。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eastAsia="宋体" w:cs="宋体"/>
                <w:b/>
                <w:bCs/>
                <w:color w:val="000000"/>
                <w:sz w:val="24"/>
                <w:szCs w:val="24"/>
                <w:highlight w:val="none"/>
                <w:lang w:val="en-US" w:eastAsia="zh-CN"/>
              </w:rPr>
              <w:t xml:space="preserve">提供①证书扫描件，②体系认证证书</w:t>
            </w:r>
            <w:r>
              <w:rPr>
                <w:rFonts w:hint="eastAsia" w:ascii="宋体" w:hAnsi="宋体" w:eastAsia="宋体" w:cs="宋体"/>
                <w:b/>
                <w:bCs/>
                <w:color w:val="000000"/>
                <w:sz w:val="24"/>
                <w:szCs w:val="24"/>
                <w:highlight w:val="none"/>
              </w:rPr>
              <w:t xml:space="preserve">认监委网站查询状态“有效”截图</w:t>
            </w:r>
            <w:r>
              <w:rPr>
                <w:rFonts w:hint="eastAsia" w:ascii="宋体" w:hAnsi="宋体" w:eastAsia="宋体" w:cs="宋体"/>
                <w:b/>
                <w:bCs/>
                <w:color w:val="000000"/>
                <w:sz w:val="24"/>
                <w:szCs w:val="24"/>
                <w:highlight w:val="none"/>
                <w:lang w:eastAsia="zh-CN"/>
              </w:rPr>
              <w:t xml:space="preserve">。</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3.4</w:t>
            </w:r>
            <w:r>
              <w:rPr>
                <w:rFonts w:ascii="宋体" w:hAnsi="宋体"/>
                <w:color w:val="000000"/>
                <w:sz w:val="24"/>
                <w:highlight w:val="none"/>
                <w:lang w:val="en-US" w:eastAsia="zh-CN"/>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人员配备</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拟配备的专职CT维修工程师，接受过原厂培训且持有相关上岗证书的，每有1人2分，满分</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70"/>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注：维修工程师均为接受过原厂培训且持有相关上岗证书</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val="en-US" w:eastAsia="zh-CN"/>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b/>
                <w:bCs/>
                <w:color w:val="000000"/>
                <w:sz w:val="24"/>
                <w:highlight w:val="none"/>
              </w:rPr>
              <w:t xml:space="preserve">提供</w:t>
            </w:r>
            <w:r>
              <w:rPr>
                <w:rFonts w:hint="eastAsia" w:ascii="宋体" w:hAnsi="宋体"/>
                <w:b/>
                <w:bCs/>
                <w:color w:val="000000"/>
                <w:sz w:val="24"/>
                <w:highlight w:val="none"/>
                <w:lang w:val="en-US" w:eastAsia="zh-CN"/>
              </w:rPr>
              <w:t xml:space="preserve">投标人</w:t>
            </w:r>
            <w:r>
              <w:rPr>
                <w:rFonts w:hint="eastAsia" w:ascii="宋体" w:hAnsi="宋体"/>
                <w:b/>
                <w:bCs/>
                <w:color w:val="000000"/>
                <w:sz w:val="24"/>
                <w:highlight w:val="none"/>
              </w:rPr>
              <w:t xml:space="preserve">为拟投入本项目专职CT维修工程师缴纳的近三个月任意一个月的（自开标之日起往前推算）社保凭证复印件、人员相关证书复印件并加盖公章，无则不得分。</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3.5</w:t>
            </w:r>
            <w:r>
              <w:rPr>
                <w:rFonts w:ascii="宋体" w:hAnsi="宋体"/>
                <w:color w:val="000000"/>
                <w:sz w:val="24"/>
                <w:highlight w:val="none"/>
                <w:lang w:val="en-US" w:eastAsia="zh-CN"/>
              </w:rPr>
            </w:r>
            <w:r/>
          </w:p>
        </w:tc>
        <w:tc>
          <w:tcPr>
            <w:tcW w:w="759" w:type="dxa"/>
            <w:vAlign w:val="center"/>
            <w:textDirection w:val="lrTb"/>
            <w:noWrap w:val="false"/>
          </w:tcPr>
          <w:p>
            <w:pPr>
              <w:pStyle w:val="1070"/>
              <w:jc w:val="center"/>
              <w:rPr>
                <w:rFonts w:hint="eastAsia" w:ascii="宋体" w:hAnsi="宋体"/>
                <w:color w:val="000000"/>
                <w:sz w:val="24"/>
                <w:highlight w:val="none"/>
              </w:rPr>
            </w:pPr>
            <w:r>
              <w:rPr>
                <w:rFonts w:hint="eastAsia" w:ascii="宋体" w:hAnsi="宋体" w:cs="宋体"/>
                <w:color w:val="000000"/>
                <w:sz w:val="24"/>
                <w:highlight w:val="none"/>
                <w:lang w:val="zh-CN"/>
              </w:rPr>
              <w:t xml:space="preserve">备件仓库</w:t>
            </w:r>
            <w:r>
              <w:rPr>
                <w:rFonts w:hint="eastAsia" w:ascii="宋体" w:hAnsi="宋体"/>
                <w:color w:val="000000"/>
                <w:sz w:val="24"/>
                <w:highlight w:val="none"/>
              </w:rPr>
            </w:r>
            <w:r/>
          </w:p>
        </w:tc>
        <w:tc>
          <w:tcPr>
            <w:tcW w:w="473" w:type="dxa"/>
            <w:vAlign w:val="center"/>
            <w:textDirection w:val="lrTb"/>
            <w:noWrap w:val="false"/>
          </w:tcPr>
          <w:p>
            <w:pPr>
              <w:pStyle w:val="1070"/>
              <w:jc w:val="center"/>
              <w:rPr>
                <w:rFonts w:hint="eastAsia" w:ascii="宋体" w:hAnsi="宋体"/>
                <w:color w:val="000000"/>
                <w:sz w:val="24"/>
                <w:highlight w:val="none"/>
                <w:lang w:val="en-US" w:eastAsia="zh-CN"/>
              </w:rPr>
            </w:pPr>
            <w:r>
              <w:rPr>
                <w:rFonts w:ascii="宋体" w:hAnsi="宋体" w:cs="宋体"/>
                <w:color w:val="000000"/>
                <w:sz w:val="24"/>
                <w:highlight w:val="none"/>
              </w:rPr>
              <w:t xml:space="preserve">5</w:t>
            </w:r>
            <w:r>
              <w:rPr>
                <w:rFonts w:hint="eastAsia" w:ascii="宋体" w:hAnsi="宋体"/>
                <w:color w:val="000000"/>
                <w:sz w:val="24"/>
                <w:highlight w:val="none"/>
                <w:lang w:val="en-US" w:eastAsia="zh-CN"/>
              </w:rPr>
            </w:r>
            <w:r/>
          </w:p>
        </w:tc>
        <w:tc>
          <w:tcPr>
            <w:tcW w:w="2066" w:type="dxa"/>
            <w:vAlign w:val="center"/>
            <w:textDirection w:val="lrTb"/>
            <w:noWrap w:val="false"/>
          </w:tcPr>
          <w:p>
            <w:pPr>
              <w:pStyle w:val="1070"/>
              <w:rPr>
                <w:rFonts w:hint="eastAsia" w:ascii="宋体" w:hAnsi="宋体"/>
                <w:color w:val="000000"/>
                <w:sz w:val="24"/>
                <w:highlight w:val="none"/>
                <w:lang w:val="en-US" w:eastAsia="zh-CN"/>
              </w:rPr>
            </w:pPr>
            <w:r>
              <w:rPr>
                <w:rFonts w:hint="eastAsia" w:ascii="宋体" w:hAnsi="宋体" w:eastAsia="宋体" w:cs="Times New Roman"/>
                <w:b w:val="0"/>
                <w:bCs/>
                <w:color w:val="000000"/>
                <w:sz w:val="24"/>
                <w:szCs w:val="24"/>
                <w:highlight w:val="none"/>
                <w:lang w:val="en-US" w:eastAsia="zh-CN" w:bidi="ar-SA"/>
              </w:rPr>
              <w:t xml:space="preserve">具备零备件及仓储能力，同时提供</w:t>
            </w:r>
            <w:r>
              <w:rPr>
                <w:rFonts w:hint="eastAsia" w:ascii="宋体" w:hAnsi="宋体" w:cs="宋体"/>
                <w:color w:val="000000"/>
                <w:sz w:val="24"/>
                <w:highlight w:val="none"/>
                <w:lang w:val="en-US" w:eastAsia="zh-CN"/>
              </w:rPr>
              <w:t xml:space="preserve">零备件即</w:t>
            </w:r>
            <w:r>
              <w:rPr>
                <w:rFonts w:hint="eastAsia" w:ascii="宋体" w:hAnsi="宋体" w:eastAsia="宋体" w:cs="Times New Roman"/>
                <w:b w:val="0"/>
                <w:bCs/>
                <w:color w:val="000000"/>
                <w:sz w:val="24"/>
                <w:szCs w:val="24"/>
                <w:highlight w:val="none"/>
                <w:lang w:val="en-US" w:eastAsia="zh-CN" w:bidi="ar-SA"/>
              </w:rPr>
              <w:t xml:space="preserve">CT同型号平板探测器和DR同型号球管或平板探测器1年内的报关单或采购合同，得5分。</w:t>
            </w:r>
            <w:r>
              <w:rPr>
                <w:rFonts w:hint="eastAsia" w:ascii="宋体" w:hAnsi="宋体"/>
                <w:color w:val="000000"/>
                <w:sz w:val="24"/>
                <w:highlight w:val="none"/>
                <w:lang w:val="en-US" w:eastAsia="zh-CN"/>
              </w:rPr>
            </w:r>
            <w:r/>
          </w:p>
        </w:tc>
        <w:tc>
          <w:tcPr>
            <w:tcW w:w="1267" w:type="dxa"/>
            <w:vAlign w:val="center"/>
            <w:textDirection w:val="lrTb"/>
            <w:noWrap w:val="false"/>
          </w:tcPr>
          <w:p>
            <w:pPr>
              <w:pStyle w:val="1070"/>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提供仓库地址、对应场地的照片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产权证（或租赁合同）和照片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70"/>
              <w:ind w:left="-3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②提供零备件</w:t>
            </w:r>
            <w:r>
              <w:rPr>
                <w:rFonts w:hint="eastAsia" w:ascii="宋体" w:hAnsi="宋体" w:eastAsia="宋体" w:cs="Times New Roman"/>
                <w:b w:val="0"/>
                <w:bCs/>
                <w:color w:val="000000"/>
                <w:sz w:val="24"/>
                <w:szCs w:val="24"/>
                <w:highlight w:val="none"/>
                <w:lang w:val="en-US" w:eastAsia="zh-CN" w:bidi="ar-SA"/>
              </w:rPr>
              <w:t xml:space="preserve">1年内的报关单或采购合同。</w:t>
            </w:r>
            <w:r>
              <w:rPr>
                <w:rFonts w:hint="eastAsia" w:ascii="宋体" w:hAnsi="宋体" w:eastAsia="宋体" w:cs="Times New Roman"/>
                <w:b w:val="0"/>
                <w:bCs/>
                <w:color w:val="000000"/>
                <w:sz w:val="24"/>
                <w:szCs w:val="24"/>
                <w:highlight w:val="none"/>
                <w:lang w:val="en-US" w:eastAsia="zh-CN" w:bidi="ar-SA"/>
              </w:rPr>
            </w:r>
            <w:r/>
          </w:p>
          <w:p>
            <w:pPr>
              <w:pStyle w:val="1070"/>
              <w:jc w:val="both"/>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未提供或缺项不得分。</w:t>
            </w:r>
            <w:r>
              <w:rPr>
                <w:rFonts w:ascii="宋体" w:hAnsi="宋体" w:eastAsia="宋体" w:cs="Times New Roman"/>
                <w:b w:val="0"/>
                <w:bCs/>
                <w:color w:val="000000"/>
                <w:sz w:val="24"/>
                <w:szCs w:val="24"/>
                <w:highlight w:val="none"/>
                <w:lang w:val="en-US" w:eastAsia="zh-CN" w:bidi="ar-SA"/>
              </w:rPr>
            </w:r>
            <w:r/>
          </w:p>
        </w:tc>
      </w:tr>
      <w:tr>
        <w:trPr/>
        <w:tc>
          <w:tcPr>
            <w:tcW w:w="43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3.6</w:t>
            </w:r>
            <w:r>
              <w:rPr>
                <w:rFonts w:ascii="宋体" w:hAnsi="宋体"/>
                <w:color w:val="000000"/>
                <w:sz w:val="24"/>
                <w:highlight w:val="none"/>
                <w:lang w:val="en-US" w:eastAsia="zh-CN"/>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维修工具</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具有全套维修工具</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包括但不限于至少包括X 射线计量表、电源分析仪、医用电器安全检测仪、亮度计、模体工具</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全部满足得2分，缺项不得分</w:t>
            </w:r>
            <w:r>
              <w:rPr>
                <w:rFonts w:hint="eastAsia" w:ascii="宋体" w:hAnsi="宋体"/>
                <w:color w:val="000000"/>
                <w:sz w:val="24"/>
                <w:highlight w:val="none"/>
              </w:rPr>
              <w:t xml:space="preserve">。</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color w:val="000000"/>
                <w:sz w:val="24"/>
                <w:highlight w:val="none"/>
              </w:rPr>
              <w:t xml:space="preserve">提供相关维修工具清单和</w:t>
            </w:r>
            <w:r>
              <w:rPr>
                <w:rFonts w:hint="eastAsia" w:ascii="宋体" w:hAnsi="宋体"/>
                <w:color w:val="000000"/>
                <w:sz w:val="24"/>
                <w:highlight w:val="none"/>
                <w:lang w:val="en-US" w:eastAsia="zh-CN"/>
              </w:rPr>
              <w:t xml:space="preserve">现场</w:t>
            </w:r>
            <w:r>
              <w:rPr>
                <w:rFonts w:hint="eastAsia" w:ascii="宋体" w:hAnsi="宋体"/>
                <w:color w:val="000000"/>
                <w:sz w:val="24"/>
                <w:highlight w:val="none"/>
              </w:rPr>
              <w:t xml:space="preserve">图片</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3.7</w:t>
            </w:r>
            <w:r>
              <w:rPr>
                <w:rFonts w:ascii="宋体" w:hAnsi="宋体"/>
                <w:color w:val="000000"/>
                <w:sz w:val="24"/>
                <w:highlight w:val="none"/>
                <w:lang w:val="en-US" w:eastAsia="zh-CN"/>
              </w:rPr>
            </w:r>
            <w:r/>
          </w:p>
        </w:tc>
        <w:tc>
          <w:tcPr>
            <w:tcW w:w="759"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增值服务</w:t>
            </w:r>
            <w:r>
              <w:rPr>
                <w:rFonts w:ascii="宋体" w:hAnsi="宋体" w:eastAsia="宋体"/>
                <w:color w:val="000000"/>
                <w:sz w:val="24"/>
                <w:highlight w:val="none"/>
                <w:lang w:val="en-US" w:eastAsia="zh-CN"/>
              </w:rPr>
            </w:r>
            <w:r/>
          </w:p>
        </w:tc>
        <w:tc>
          <w:tcPr>
            <w:tcW w:w="473" w:type="dxa"/>
            <w:vAlign w:val="center"/>
            <w:textDirection w:val="lrTb"/>
            <w:noWrap w:val="false"/>
          </w:tcPr>
          <w:p>
            <w:pPr>
              <w:pStyle w:val="1070"/>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w:t>
            </w:r>
            <w:r>
              <w:rPr>
                <w:rFonts w:ascii="宋体" w:hAnsi="宋体"/>
                <w:color w:val="000000"/>
                <w:sz w:val="24"/>
                <w:highlight w:val="none"/>
                <w:lang w:val="en-US" w:eastAsia="zh-CN"/>
              </w:rPr>
            </w:r>
            <w:r/>
          </w:p>
        </w:tc>
        <w:tc>
          <w:tcPr>
            <w:tcW w:w="2066" w:type="dxa"/>
            <w:vAlign w:val="center"/>
            <w:textDirection w:val="lrTb"/>
            <w:noWrap w:val="false"/>
          </w:tcPr>
          <w:p>
            <w:pPr>
              <w:pStyle w:val="1070"/>
              <w:rPr>
                <w:rFonts w:hint="eastAsia" w:ascii="宋体" w:hAnsi="宋体"/>
                <w:color w:val="000000"/>
                <w:sz w:val="24"/>
                <w:highlight w:val="none"/>
                <w:lang w:val="en-US" w:eastAsia="zh-CN"/>
              </w:rPr>
            </w:pPr>
            <w:r>
              <w:rPr>
                <w:rFonts w:hint="eastAsia" w:ascii="宋体" w:hAnsi="宋体"/>
                <w:bCs/>
                <w:color w:val="000000"/>
                <w:sz w:val="24"/>
                <w:highlight w:val="none"/>
                <w:shd w:val="clear" w:color="auto" w:fill="ffffff"/>
              </w:rPr>
              <w:t xml:space="preserve">除招标文件要求的服务内容以外，投标人</w:t>
            </w:r>
            <w:r>
              <w:rPr>
                <w:rFonts w:hint="eastAsia" w:ascii="宋体" w:hAnsi="宋体"/>
                <w:bCs/>
                <w:color w:val="000000"/>
                <w:sz w:val="24"/>
                <w:highlight w:val="none"/>
                <w:shd w:val="clear" w:color="auto" w:fill="ffffff"/>
                <w:lang w:val="en-US" w:eastAsia="zh-CN"/>
              </w:rPr>
              <w:t xml:space="preserve">提供</w:t>
            </w:r>
            <w:r>
              <w:rPr>
                <w:rFonts w:hint="eastAsia" w:ascii="宋体" w:hAnsi="宋体"/>
                <w:bCs/>
                <w:color w:val="000000"/>
                <w:sz w:val="24"/>
                <w:highlight w:val="none"/>
                <w:shd w:val="clear" w:color="auto" w:fill="ffffff"/>
              </w:rPr>
              <w:t xml:space="preserve">对采购人有实际工作、服务需要的优惠条件或增值服务，且经评标委员会一致</w:t>
            </w:r>
            <w:r>
              <w:rPr>
                <w:rFonts w:hint="eastAsia" w:ascii="宋体" w:hAnsi="宋体"/>
                <w:bCs/>
                <w:color w:val="000000"/>
                <w:sz w:val="24"/>
                <w:highlight w:val="none"/>
                <w:shd w:val="clear" w:color="auto" w:fill="ffffff"/>
                <w:lang w:val="en-US" w:eastAsia="zh-CN"/>
              </w:rPr>
              <w:t xml:space="preserve">采纳</w:t>
            </w:r>
            <w:r>
              <w:rPr>
                <w:rFonts w:hint="eastAsia" w:ascii="宋体" w:hAnsi="宋体"/>
                <w:bCs/>
                <w:color w:val="000000"/>
                <w:sz w:val="24"/>
                <w:highlight w:val="none"/>
                <w:shd w:val="clear" w:color="auto" w:fill="ffffff"/>
              </w:rPr>
              <w:t xml:space="preserve">的，</w:t>
            </w:r>
            <w:r>
              <w:rPr>
                <w:rFonts w:hint="eastAsia" w:ascii="宋体" w:hAnsi="宋体"/>
                <w:bCs/>
                <w:color w:val="000000"/>
                <w:sz w:val="24"/>
                <w:highlight w:val="none"/>
                <w:shd w:val="clear" w:color="auto" w:fill="ffffff"/>
                <w:lang w:val="en-US" w:eastAsia="zh-CN"/>
              </w:rPr>
              <w:t xml:space="preserve">每有1条</w:t>
            </w:r>
            <w:r>
              <w:rPr>
                <w:rFonts w:hint="eastAsia" w:ascii="宋体" w:hAnsi="宋体"/>
                <w:bCs/>
                <w:color w:val="000000"/>
                <w:sz w:val="24"/>
                <w:highlight w:val="none"/>
                <w:shd w:val="clear" w:color="auto" w:fill="ffffff"/>
              </w:rPr>
              <w:t xml:space="preserve">加1分，满分</w:t>
            </w:r>
            <w:r>
              <w:rPr>
                <w:rFonts w:hint="eastAsia" w:ascii="宋体" w:hAnsi="宋体"/>
                <w:bCs/>
                <w:color w:val="000000"/>
                <w:sz w:val="24"/>
                <w:highlight w:val="none"/>
                <w:shd w:val="clear" w:color="auto" w:fill="ffffff"/>
                <w:lang w:val="en-US" w:eastAsia="zh-CN"/>
              </w:rPr>
              <w:t xml:space="preserve">2</w:t>
            </w:r>
            <w:r>
              <w:rPr>
                <w:rFonts w:hint="eastAsia" w:ascii="宋体" w:hAnsi="宋体"/>
                <w:bCs/>
                <w:color w:val="000000"/>
                <w:sz w:val="24"/>
                <w:highlight w:val="none"/>
                <w:shd w:val="clear" w:color="auto" w:fill="ffffff"/>
              </w:rPr>
              <w:t xml:space="preserve">分。</w:t>
            </w:r>
            <w:r>
              <w:rPr>
                <w:rFonts w:hint="eastAsia" w:ascii="宋体" w:hAnsi="宋体"/>
                <w:color w:val="000000"/>
                <w:sz w:val="24"/>
                <w:highlight w:val="none"/>
                <w:lang w:val="en-US" w:eastAsia="zh-CN"/>
              </w:rPr>
            </w:r>
            <w:r/>
          </w:p>
        </w:tc>
        <w:tc>
          <w:tcPr>
            <w:tcW w:w="1267" w:type="dxa"/>
            <w:vAlign w:val="center"/>
            <w:textDirection w:val="lrTb"/>
            <w:noWrap w:val="false"/>
          </w:tcPr>
          <w:p>
            <w:pPr>
              <w:pStyle w:val="1070"/>
              <w:ind w:left="-38"/>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221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0"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64"/>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采购标的</w:t>
      </w:r>
      <w:r>
        <w:rPr>
          <w:rFonts w:ascii="宋体" w:hAnsi="宋体"/>
          <w:b/>
          <w:color w:val="000000"/>
          <w:sz w:val="24"/>
          <w:szCs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常州市儿童医院CT、DR维保服务采购项目</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维保设备：</w:t>
      </w:r>
      <w:r>
        <w:rPr>
          <w:rFonts w:hint="eastAsia" w:ascii="宋体" w:hAnsi="宋体"/>
          <w:bCs/>
          <w:color w:val="000000"/>
          <w:sz w:val="24"/>
          <w:highlight w:val="none"/>
          <w:lang w:eastAsia="zh-CN"/>
        </w:rPr>
        <w:t xml:space="preserve">飞利浦CT：1台；飞利浦DR：1台。</w:t>
      </w:r>
      <w:r>
        <w:rPr>
          <w:rFonts w:hint="eastAsia" w:ascii="宋体" w:hAnsi="宋体" w:eastAsia="宋体"/>
          <w:bCs/>
          <w:color w:val="000000"/>
          <w:sz w:val="24"/>
          <w:highlight w:val="none"/>
          <w:lang w:eastAsia="zh-CN"/>
        </w:rPr>
      </w:r>
      <w:r/>
    </w:p>
    <w:p>
      <w:pPr>
        <w:pStyle w:val="1164"/>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二、</w:t>
      </w:r>
      <w:r>
        <w:rPr>
          <w:rFonts w:ascii="宋体" w:hAnsi="宋体"/>
          <w:b/>
          <w:color w:val="000000"/>
          <w:sz w:val="24"/>
          <w:szCs w:val="24"/>
          <w:highlight w:val="none"/>
        </w:rPr>
        <w:t xml:space="preserve">商务要求</w:t>
      </w:r>
      <w:r>
        <w:rPr>
          <w:rFonts w:ascii="宋体" w:hAnsi="宋体"/>
          <w:b/>
          <w:color w:val="000000"/>
          <w:sz w:val="24"/>
          <w:szCs w:val="24"/>
          <w:highlight w:val="none"/>
        </w:rPr>
      </w:r>
      <w:r/>
    </w:p>
    <w:p>
      <w:pPr>
        <w:pStyle w:val="1164"/>
        <w:numPr>
          <w:ilvl w:val="0"/>
          <w:numId w:val="0"/>
        </w:numPr>
        <w:contextualSpacing/>
        <w:ind w:left="-2" w:firstLine="480"/>
        <w:spacing w:line="360" w:lineRule="auto"/>
        <w:tabs>
          <w:tab w:val="left" w:pos="567" w:leader="none"/>
        </w:tabs>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1.服务期限：三年，合同一年一签。</w:t>
      </w:r>
      <w:r>
        <w:rPr>
          <w:rFonts w:ascii="宋体" w:hAnsi="宋体" w:eastAsia="宋体" w:cs="Times New Roman"/>
          <w:b w:val="0"/>
          <w:bCs/>
          <w:color w:val="000000"/>
          <w:sz w:val="24"/>
          <w:szCs w:val="24"/>
          <w:highlight w:val="none"/>
          <w:lang w:val="en-US" w:eastAsia="zh-CN" w:bidi="ar-SA"/>
        </w:rPr>
      </w:r>
      <w:r/>
    </w:p>
    <w:p>
      <w:pPr>
        <w:pStyle w:val="1164"/>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2.付款条件（进度和方式）</w:t>
      </w:r>
      <w:r>
        <w:rPr>
          <w:rFonts w:hint="eastAsia" w:ascii="宋体" w:hAnsi="宋体" w:eastAsia="宋体" w:cs="Times New Roman"/>
          <w:b w:val="0"/>
          <w:bCs/>
          <w:color w:val="000000"/>
          <w:sz w:val="24"/>
          <w:szCs w:val="24"/>
          <w:highlight w:val="none"/>
          <w:lang w:val="en-US" w:eastAsia="zh-CN" w:bidi="ar-SA"/>
        </w:rPr>
      </w:r>
      <w:r/>
    </w:p>
    <w:p>
      <w:pPr>
        <w:pStyle w:val="1164"/>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维保费用按年度结算。</w:t>
      </w:r>
      <w:r>
        <w:rPr>
          <w:rFonts w:hint="eastAsia" w:ascii="宋体" w:hAnsi="宋体"/>
          <w:b w:val="0"/>
          <w:bCs/>
          <w:color w:val="000000"/>
          <w:sz w:val="24"/>
          <w:szCs w:val="24"/>
          <w:highlight w:val="none"/>
          <w:lang w:val="en-US" w:eastAsia="zh-CN" w:bidi="ar-SA"/>
        </w:rPr>
        <w:t xml:space="preserve">每年度服务开始后支付年度维保费用的40%；每年度服务期结束后，根据考核结果支付剩余年度维保费用。</w:t>
      </w:r>
      <w:r>
        <w:rPr>
          <w:rFonts w:ascii="宋体" w:hAnsi="宋体"/>
          <w:b w:val="0"/>
          <w:bCs/>
          <w:color w:val="000000"/>
          <w:sz w:val="24"/>
          <w:szCs w:val="24"/>
          <w:highlight w:val="none"/>
          <w:lang w:val="en-US" w:eastAsia="zh-CN" w:bidi="ar-SA"/>
        </w:rPr>
      </w:r>
      <w:r/>
    </w:p>
    <w:p>
      <w:pPr>
        <w:pStyle w:val="1164"/>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hint="eastAsia" w:ascii="宋体" w:hAnsi="宋体"/>
          <w:b w:val="0"/>
          <w:bCs/>
          <w:color w:val="000000"/>
          <w:sz w:val="24"/>
          <w:szCs w:val="24"/>
          <w:highlight w:val="none"/>
          <w:lang w:val="en-US" w:eastAsia="zh-CN" w:bidi="ar-SA"/>
        </w:rPr>
        <w:t xml:space="preserve">注：</w:t>
      </w:r>
      <w:r>
        <w:rPr>
          <w:rFonts w:ascii="宋体" w:hAnsi="宋体"/>
          <w:b w:val="0"/>
          <w:bCs/>
          <w:color w:val="000000"/>
          <w:sz w:val="24"/>
          <w:szCs w:val="24"/>
          <w:highlight w:val="none"/>
          <w:lang w:val="en-US" w:eastAsia="zh-CN" w:bidi="ar-SA"/>
        </w:rPr>
        <w:t xml:space="preserve">付款前</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应开具正式增值税发票</w:t>
      </w:r>
      <w:r>
        <w:rPr>
          <w:rFonts w:hint="eastAsia" w:ascii="宋体" w:hAnsi="宋体"/>
          <w:b w:val="0"/>
          <w:bCs/>
          <w:color w:val="000000"/>
          <w:sz w:val="24"/>
          <w:szCs w:val="24"/>
          <w:highlight w:val="none"/>
          <w:lang w:val="en-US" w:eastAsia="zh-CN" w:bidi="ar-SA"/>
        </w:rPr>
        <w:t xml:space="preserve">，</w:t>
      </w:r>
      <w:r>
        <w:rPr>
          <w:rFonts w:ascii="宋体" w:hAnsi="宋体"/>
          <w:b w:val="0"/>
          <w:bCs/>
          <w:color w:val="000000"/>
          <w:sz w:val="24"/>
          <w:szCs w:val="24"/>
          <w:highlight w:val="none"/>
          <w:lang w:val="en-US" w:eastAsia="zh-CN" w:bidi="ar-SA"/>
        </w:rPr>
        <w:t xml:space="preserve">采购人收到</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发票后 10 个工作日</w:t>
      </w:r>
      <w:r>
        <w:rPr>
          <w:rFonts w:hint="eastAsia" w:ascii="宋体" w:hAnsi="宋体"/>
          <w:b w:val="0"/>
          <w:bCs/>
          <w:color w:val="000000"/>
          <w:sz w:val="24"/>
          <w:szCs w:val="24"/>
          <w:highlight w:val="none"/>
          <w:lang w:val="en-US" w:eastAsia="zh-CN" w:bidi="ar-SA"/>
        </w:rPr>
        <w:t xml:space="preserve">内支付相应款项</w:t>
      </w:r>
      <w:r>
        <w:rPr>
          <w:rFonts w:ascii="宋体" w:hAnsi="宋体"/>
          <w:b w:val="0"/>
          <w:bCs/>
          <w:color w:val="000000"/>
          <w:sz w:val="24"/>
          <w:szCs w:val="24"/>
          <w:highlight w:val="none"/>
          <w:lang w:val="en-US" w:eastAsia="zh-CN" w:bidi="ar-SA"/>
        </w:rPr>
        <w:t xml:space="preserve">。因</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原因未及时提供发票导致不能支付的，相应责任由</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负责。</w:t>
      </w:r>
      <w:r>
        <w:rPr>
          <w:rFonts w:ascii="宋体" w:hAnsi="宋体"/>
          <w:b w:val="0"/>
          <w:bCs/>
          <w:color w:val="000000"/>
          <w:sz w:val="24"/>
          <w:szCs w:val="24"/>
          <w:highlight w:val="none"/>
          <w:lang w:val="en-US" w:eastAsia="zh-CN" w:bidi="ar-SA"/>
        </w:rPr>
      </w:r>
      <w:r/>
    </w:p>
    <w:p>
      <w:pPr>
        <w:pStyle w:val="1164"/>
        <w:numPr>
          <w:ilvl w:val="0"/>
          <w:numId w:val="0"/>
        </w:numPr>
        <w:contextualSpacing/>
        <w:ind w:left="-2" w:firstLine="482"/>
        <w:spacing w:line="360" w:lineRule="auto"/>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3.报价要求</w:t>
      </w:r>
      <w:r>
        <w:rPr>
          <w:rFonts w:hint="eastAsia" w:ascii="宋体" w:hAnsi="宋体" w:eastAsia="宋体" w:cs="Times New Roman"/>
          <w:b/>
          <w:color w:val="000000"/>
          <w:sz w:val="24"/>
          <w:szCs w:val="24"/>
          <w:highlight w:val="none"/>
          <w:lang w:val="en-US" w:eastAsia="zh-CN" w:bidi="ar-SA"/>
        </w:rPr>
      </w:r>
      <w:r/>
    </w:p>
    <w:p>
      <w:pPr>
        <w:pStyle w:val="1164"/>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，投标总价应包括招标文件所确定的采购范围相应服务的提供、人员（包括工资和补贴）、配件费、技术费、工时费、差旅费、物流费、办公场所及设施、保险、劳保、管理、</w:t>
      </w:r>
      <w:r>
        <w:rPr>
          <w:rFonts w:hint="eastAsia" w:ascii="宋体" w:hAnsi="宋体"/>
          <w:color w:val="000000"/>
          <w:sz w:val="24"/>
          <w:szCs w:val="24"/>
          <w:highlight w:val="none"/>
        </w:rPr>
        <w:t xml:space="preserve">代理机构服务费</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highlight w:val="none"/>
        </w:rPr>
      </w:r>
      <w:r/>
    </w:p>
    <w:p>
      <w:pPr>
        <w:pStyle w:val="1070"/>
        <w:contextualSpacing/>
        <w:ind w:left="-2" w:firstLine="480"/>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报价货币为人民币，评审时以人民币为准。</w:t>
      </w:r>
      <w:r>
        <w:rPr>
          <w:rFonts w:hint="eastAsia" w:ascii="宋体" w:hAnsi="宋体" w:cs="宋体"/>
          <w:color w:val="000000"/>
          <w:sz w:val="24"/>
          <w:szCs w:val="24"/>
          <w:highlight w:val="none"/>
        </w:rPr>
      </w:r>
      <w:r/>
    </w:p>
    <w:p>
      <w:pPr>
        <w:pStyle w:val="1164"/>
        <w:numPr>
          <w:ilvl w:val="0"/>
          <w:numId w:val="0"/>
        </w:numPr>
        <w:contextualSpacing/>
        <w:ind w:left="-2" w:firstLine="482"/>
        <w:spacing w:line="360" w:lineRule="auto"/>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4.考核要求</w:t>
      </w:r>
      <w:r>
        <w:rPr>
          <w:rFonts w:hint="eastAsia" w:ascii="宋体" w:hAnsi="宋体" w:eastAsia="宋体" w:cs="Times New Roman"/>
          <w:b/>
          <w:color w:val="000000"/>
          <w:sz w:val="24"/>
          <w:szCs w:val="24"/>
          <w:highlight w:val="none"/>
          <w:lang w:val="en-US" w:eastAsia="zh-CN" w:bidi="ar-SA"/>
        </w:rPr>
      </w:r>
      <w:r/>
    </w:p>
    <w:p>
      <w:pPr>
        <w:pStyle w:val="1164"/>
        <w:contextualSpacing/>
        <w:ind w:firstLine="480"/>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按年度（12个月）</w:t>
      </w:r>
      <w:r>
        <w:rPr>
          <w:rFonts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服务单位的</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val="en-US" w:eastAsia="zh-CN"/>
        </w:rPr>
        <w:t xml:space="preserve">进行考核</w:t>
      </w:r>
      <w:r>
        <w:rPr>
          <w:rFonts w:ascii="宋体" w:hAnsi="宋体" w:eastAsia="宋体" w:cs="宋体"/>
          <w:color w:val="000000"/>
          <w:sz w:val="24"/>
          <w:szCs w:val="24"/>
          <w:highlight w:val="none"/>
          <w:lang w:val="en-US" w:eastAsia="zh-CN"/>
        </w:rPr>
        <w:t xml:space="preserve">，并根据考核内容进行打分（扣分）</w:t>
      </w:r>
      <w:r>
        <w:rPr>
          <w:rFonts w:hint="eastAsia" w:ascii="宋体" w:hAnsi="宋体" w:eastAsia="宋体" w:cs="宋体"/>
          <w:color w:val="000000"/>
          <w:sz w:val="24"/>
          <w:szCs w:val="24"/>
          <w:highlight w:val="none"/>
          <w:lang w:val="en-US" w:eastAsia="zh-CN"/>
        </w:rPr>
        <w:t xml:space="preserve">，考核为百分制。</w:t>
      </w:r>
      <w:r>
        <w:rPr>
          <w:rFonts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年度考核得分90分</w:t>
      </w:r>
      <w:r>
        <w:rPr>
          <w:rFonts w:hint="eastAsia" w:ascii="宋体" w:hAnsi="宋体" w:eastAsia="宋体" w:cs="宋体"/>
          <w:color w:val="000000"/>
          <w:sz w:val="24"/>
          <w:szCs w:val="24"/>
          <w:highlight w:val="none"/>
          <w:lang w:val="en-US" w:eastAsia="zh-CN"/>
        </w:rPr>
        <w:t xml:space="preserve">及</w:t>
      </w:r>
      <w:r>
        <w:rPr>
          <w:rFonts w:ascii="宋体" w:hAnsi="宋体" w:eastAsia="宋体" w:cs="宋体"/>
          <w:color w:val="000000"/>
          <w:sz w:val="24"/>
          <w:szCs w:val="24"/>
          <w:highlight w:val="none"/>
          <w:lang w:val="en-US" w:eastAsia="zh-CN"/>
        </w:rPr>
        <w:t xml:space="preserve">以上（含90分），</w:t>
      </w:r>
      <w:r>
        <w:rPr>
          <w:rFonts w:hint="eastAsia" w:ascii="宋体" w:hAnsi="宋体" w:eastAsia="宋体" w:cs="宋体"/>
          <w:color w:val="000000"/>
          <w:sz w:val="24"/>
          <w:szCs w:val="24"/>
          <w:highlight w:val="none"/>
          <w:lang w:val="en-US" w:eastAsia="zh-CN"/>
        </w:rPr>
        <w:t xml:space="preserve">全额支付年度维保费用；</w:t>
      </w:r>
      <w:r>
        <w:rPr>
          <w:rFonts w:ascii="宋体" w:hAnsi="宋体" w:eastAsia="宋体" w:cs="宋体"/>
          <w:color w:val="000000"/>
          <w:sz w:val="24"/>
          <w:szCs w:val="24"/>
          <w:highlight w:val="none"/>
          <w:lang w:val="en-US" w:eastAsia="zh-CN"/>
        </w:rPr>
        <w:t xml:space="preserve">年度考核得分90分以下（不含90分），相应考核项目每降低1分</w:t>
      </w:r>
      <w:r>
        <w:rPr>
          <w:rFonts w:hint="eastAsia" w:ascii="宋体" w:hAnsi="宋体" w:eastAsia="宋体" w:cs="宋体"/>
          <w:color w:val="000000"/>
          <w:sz w:val="24"/>
          <w:szCs w:val="24"/>
          <w:highlight w:val="none"/>
          <w:lang w:val="en-US" w:eastAsia="zh-CN"/>
        </w:rPr>
        <w:t xml:space="preserve">，扣除3000元；</w:t>
      </w:r>
      <w:r>
        <w:rPr>
          <w:rFonts w:ascii="宋体" w:hAnsi="宋体" w:eastAsia="宋体" w:cs="宋体"/>
          <w:color w:val="000000"/>
          <w:sz w:val="24"/>
          <w:szCs w:val="24"/>
          <w:highlight w:val="none"/>
          <w:lang w:val="en-US" w:eastAsia="zh-CN"/>
        </w:rPr>
        <w:t xml:space="preserve">年度考核得分</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及</w:t>
      </w:r>
      <w:r>
        <w:rPr>
          <w:rFonts w:ascii="宋体" w:hAnsi="宋体" w:eastAsia="宋体" w:cs="宋体"/>
          <w:color w:val="000000"/>
          <w:sz w:val="24"/>
          <w:szCs w:val="24"/>
          <w:highlight w:val="none"/>
          <w:lang w:val="en-US" w:eastAsia="zh-CN"/>
        </w:rPr>
        <w:t xml:space="preserve">以下（含</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采购人有权单方与中标单位解除合同</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且采购人无需承担任何违约责任</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70"/>
        <w:contextualSpacing/>
        <w:ind w:left="-2" w:firstLine="480"/>
        <w:jc w:val="center"/>
        <w:spacing w:line="360" w:lineRule="auto"/>
        <w:tabs>
          <w:tab w:val="left" w:pos="567"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考核表</w:t>
      </w:r>
      <w:r>
        <w:rPr>
          <w:rFonts w:hint="eastAsia" w:ascii="宋体" w:hAnsi="宋体" w:cs="宋体"/>
          <w:color w:val="000000"/>
          <w:sz w:val="24"/>
          <w:szCs w:val="24"/>
          <w:highlight w:val="none"/>
          <w:lang w:val="en-US" w:eastAsia="zh-CN"/>
        </w:rPr>
      </w:r>
      <w:r/>
    </w:p>
    <w:tbl>
      <w:tblPr>
        <w:tblStyle w:val="11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14"/>
        <w:gridCol w:w="1253"/>
        <w:gridCol w:w="1477"/>
        <w:gridCol w:w="2322"/>
        <w:gridCol w:w="2322"/>
      </w:tblGrid>
      <w:tr>
        <w:trPr>
          <w:trHeight w:val="473"/>
        </w:trPr>
        <w:tc>
          <w:tcPr>
            <w:gridSpan w:val="4"/>
            <w:tcW w:w="6966" w:type="dxa"/>
            <w:vAlign w:val="top"/>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考核单位：</w:t>
            </w:r>
            <w:r>
              <w:rPr>
                <w:rFonts w:ascii="宋体" w:hAnsi="宋体" w:cs="宋体"/>
                <w:color w:val="000000"/>
                <w:sz w:val="24"/>
                <w:szCs w:val="24"/>
                <w:highlight w:val="none"/>
                <w:vertAlign w:val="baseline"/>
                <w:lang w:val="en-US" w:eastAsia="zh-CN"/>
              </w:rPr>
            </w:r>
            <w:r/>
          </w:p>
        </w:tc>
        <w:tc>
          <w:tcPr>
            <w:tcW w:w="2322" w:type="dxa"/>
            <w:vAlign w:val="top"/>
            <w:vMerge w:val="restart"/>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考核时间：</w:t>
            </w:r>
            <w:r>
              <w:rPr>
                <w:rFonts w:ascii="宋体" w:hAnsi="宋体" w:cs="宋体"/>
                <w:color w:val="000000"/>
                <w:sz w:val="24"/>
                <w:szCs w:val="24"/>
                <w:highlight w:val="none"/>
                <w:vertAlign w:val="baseline"/>
                <w:lang w:val="en-US" w:eastAsia="zh-CN"/>
              </w:rPr>
            </w:r>
            <w:r/>
          </w:p>
        </w:tc>
      </w:tr>
      <w:tr>
        <w:trPr/>
        <w:tc>
          <w:tcPr>
            <w:gridSpan w:val="4"/>
            <w:tcW w:w="6966" w:type="dxa"/>
            <w:vAlign w:val="top"/>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被考核单位：</w:t>
            </w:r>
            <w:r>
              <w:rPr>
                <w:rFonts w:ascii="宋体" w:hAnsi="宋体" w:cs="宋体"/>
                <w:color w:val="000000"/>
                <w:sz w:val="24"/>
                <w:szCs w:val="24"/>
                <w:highlight w:val="none"/>
                <w:vertAlign w:val="baseline"/>
                <w:lang w:val="en-US" w:eastAsia="zh-CN"/>
              </w:rPr>
            </w:r>
            <w:r/>
          </w:p>
        </w:tc>
        <w:tc>
          <w:tcPr>
            <w:tcW w:w="2322" w:type="dxa"/>
            <w:vAlign w:val="top"/>
            <w:vMerge w:val="continue"/>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考核项目</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分值</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具体内容</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得分</w:t>
            </w: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设备维保档案</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A、按时巡查、记录完整（得满分）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B、未按时巡查或记录缺失（一次扣 3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C、无人巡查或无巡查记录（本项不得分)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保养内容</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30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A.按维保计划完成全部保养内容（得满分）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B.未按维保计划完成保养内容（少一条扣三分）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维修响应</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20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A、按要求时间到达并及时处理完成(得满分)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B、按要求时间到达但因维保方人为因素不能按要求时间内处理完成(一次扣3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C、超过要求时间到达现场(一次扣 6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D、未到达现场（本项不得分)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备件材料</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20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A、备件充足、齐全且规格、品质为原厂全新配件(得满分)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B、备件较为齐全，但不为原厂全新配件 (扣5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C、备件种类不齐全(扣5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D、无备件（本项不得分)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维保效果</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维修质量 （优秀</w:t>
            </w: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t xml:space="preserve">分/良好 </w:t>
            </w:r>
            <w:r>
              <w:rPr>
                <w:rFonts w:hint="eastAsia" w:ascii="宋体" w:hAnsi="宋体" w:cs="宋体"/>
                <w:color w:val="000000"/>
                <w:sz w:val="24"/>
                <w:szCs w:val="24"/>
                <w:highlight w:val="none"/>
                <w:vertAlign w:val="baseline"/>
                <w:lang w:val="en-US" w:eastAsia="zh-CN"/>
              </w:rPr>
              <w:t xml:space="preserve">5</w:t>
            </w:r>
            <w:r>
              <w:rPr>
                <w:rFonts w:ascii="宋体" w:hAnsi="宋体" w:cs="宋体"/>
                <w:color w:val="000000"/>
                <w:sz w:val="24"/>
                <w:szCs w:val="24"/>
                <w:highlight w:val="none"/>
                <w:vertAlign w:val="baseline"/>
                <w:lang w:val="en-US" w:eastAsia="zh-CN"/>
              </w:rPr>
              <w:t xml:space="preserve">分/差0 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开机率</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设备实际开机率应不低于95%，设备实际开机率%（以一年 365 天计算，未达到要求每一天扣1 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gridSpan w:val="4"/>
            <w:tcW w:w="6966"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gridSpan w:val="3"/>
            <w:tcW w:w="4644" w:type="dxa"/>
            <w:vAlign w:val="center"/>
            <w:textDirection w:val="lrTb"/>
            <w:noWrap w:val="false"/>
          </w:tcPr>
          <w:p>
            <w:pPr>
              <w:pStyle w:val="1070"/>
              <w:contextualSpacing/>
              <w:jc w:val="both"/>
              <w:spacing w:line="360" w:lineRule="auto"/>
              <w:tabs>
                <w:tab w:val="left" w:pos="567" w:leader="none"/>
              </w:tabs>
              <w:rPr>
                <w:rFonts w:hint="eastAsia"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使用科室签字：                             </w:t>
            </w:r>
            <w:r>
              <w:rPr>
                <w:rFonts w:hint="eastAsia" w:ascii="宋体" w:hAnsi="宋体" w:cs="宋体"/>
                <w:color w:val="000000"/>
                <w:sz w:val="24"/>
                <w:szCs w:val="24"/>
                <w:highlight w:val="none"/>
                <w:vertAlign w:val="baseline"/>
                <w:lang w:val="en-US" w:eastAsia="zh-CN"/>
              </w:rPr>
            </w:r>
            <w:r/>
          </w:p>
        </w:tc>
        <w:tc>
          <w:tcPr>
            <w:gridSpan w:val="2"/>
            <w:tcW w:w="4644" w:type="dxa"/>
            <w:vAlign w:val="center"/>
            <w:textDirection w:val="lrTb"/>
            <w:noWrap w:val="false"/>
          </w:tcPr>
          <w:p>
            <w:pPr>
              <w:pStyle w:val="1070"/>
              <w:contextualSpacing/>
              <w:jc w:val="both"/>
              <w:spacing w:line="360" w:lineRule="auto"/>
              <w:tabs>
                <w:tab w:val="left" w:pos="567" w:leader="none"/>
              </w:tabs>
              <w:rPr>
                <w:rFonts w:hint="eastAsia"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管理科室签字：</w:t>
            </w:r>
            <w:r>
              <w:rPr>
                <w:rFonts w:hint="eastAsia" w:ascii="宋体" w:hAnsi="宋体" w:cs="宋体"/>
                <w:color w:val="000000"/>
                <w:sz w:val="24"/>
                <w:szCs w:val="24"/>
                <w:highlight w:val="none"/>
                <w:vertAlign w:val="baseline"/>
                <w:lang w:val="en-US" w:eastAsia="zh-CN"/>
              </w:rPr>
            </w:r>
            <w:r/>
          </w:p>
        </w:tc>
      </w:tr>
    </w:tbl>
    <w:p>
      <w:pPr>
        <w:pStyle w:val="1164"/>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1164"/>
        <w:contextualSpacing/>
        <w:ind w:left="-2" w:firstLine="480"/>
        <w:jc w:val="left"/>
        <w:spacing w:line="360" w:lineRule="auto"/>
        <w:tabs>
          <w:tab w:val="left" w:pos="567" w:leader="none"/>
        </w:tabs>
        <w:rPr>
          <w:rFonts w:ascii="宋体" w:hAnsi="宋体" w:eastAsia="宋体"/>
          <w:color w:val="000000"/>
          <w:sz w:val="24"/>
          <w:szCs w:val="24"/>
          <w:highlight w:val="none"/>
          <w:lang w:val="en-US" w:eastAsia="zh-CN"/>
        </w:rPr>
      </w:pPr>
      <w:r>
        <w:rPr>
          <w:rFonts w:hint="eastAsia" w:ascii="宋体" w:hAnsi="宋体"/>
          <w:color w:val="000000"/>
          <w:sz w:val="24"/>
          <w:highlight w:val="none"/>
          <w:lang w:val="en-US" w:eastAsia="zh-CN"/>
        </w:rPr>
        <w:t xml:space="preserve">1.设备型号</w:t>
      </w:r>
      <w:r>
        <w:rPr>
          <w:rFonts w:ascii="宋体" w:hAnsi="宋体" w:eastAsia="宋体"/>
          <w:color w:val="000000"/>
          <w:sz w:val="24"/>
          <w:szCs w:val="24"/>
          <w:highlight w:val="none"/>
          <w:lang w:val="en-US" w:eastAsia="zh-CN"/>
        </w:rPr>
      </w:r>
      <w:r/>
    </w:p>
    <w:tbl>
      <w:tblPr>
        <w:tblStyle w:val="113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9"/>
        <w:gridCol w:w="1194"/>
        <w:gridCol w:w="2905"/>
        <w:gridCol w:w="1126"/>
      </w:tblGrid>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设备名称</w:t>
            </w:r>
            <w:r>
              <w:rPr>
                <w:rFonts w:hint="eastAsia" w:ascii="宋体" w:hAnsi="宋体" w:eastAsia="宋体" w:cs="宋体"/>
                <w:color w:val="000000"/>
                <w:sz w:val="24"/>
                <w:szCs w:val="24"/>
                <w:highlight w:val="none"/>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品牌</w:t>
            </w:r>
            <w:r>
              <w:rPr>
                <w:rFonts w:hint="eastAsia" w:ascii="宋体" w:hAnsi="宋体" w:eastAsia="宋体" w:cs="宋体"/>
                <w:color w:val="000000"/>
                <w:sz w:val="24"/>
                <w:szCs w:val="24"/>
                <w:highlight w:val="none"/>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r>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X 射线计算机体层摄影设备维保</w:t>
            </w:r>
            <w:r>
              <w:rPr>
                <w:rFonts w:hint="eastAsia" w:ascii="宋体" w:hAnsi="宋体" w:eastAsia="宋体" w:cs="宋体"/>
                <w:color w:val="000000"/>
                <w:sz w:val="24"/>
                <w:szCs w:val="24"/>
                <w:highlight w:val="none"/>
                <w:lang w:val="en-US"/>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w:t>
            </w:r>
            <w:r>
              <w:rPr>
                <w:rFonts w:hint="eastAsia" w:ascii="宋体" w:hAnsi="宋体" w:eastAsia="宋体" w:cs="宋体"/>
                <w:color w:val="000000"/>
                <w:sz w:val="24"/>
                <w:szCs w:val="24"/>
                <w:highlight w:val="none"/>
                <w:lang w:val="en-US" w:eastAsia="zh-CN"/>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Ingenuity CT</w:t>
            </w:r>
            <w:r>
              <w:rPr>
                <w:rFonts w:hint="eastAsia" w:ascii="宋体" w:hAnsi="宋体" w:eastAsia="宋体" w:cs="宋体"/>
                <w:color w:val="000000"/>
                <w:sz w:val="24"/>
                <w:szCs w:val="24"/>
                <w:highlight w:val="none"/>
                <w:lang w:val="en-US" w:eastAsia="zh-CN"/>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台</w:t>
            </w:r>
            <w:r>
              <w:rPr>
                <w:rFonts w:hint="eastAsia" w:ascii="宋体" w:hAnsi="宋体" w:eastAsia="宋体" w:cs="宋体"/>
                <w:color w:val="000000"/>
                <w:sz w:val="24"/>
                <w:szCs w:val="24"/>
                <w:highlight w:val="none"/>
                <w:lang w:val="en-US" w:eastAsia="zh-CN"/>
              </w:rPr>
            </w:r>
            <w:r/>
          </w:p>
        </w:tc>
      </w:tr>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DR维保</w:t>
            </w:r>
            <w:r>
              <w:rPr>
                <w:rFonts w:hint="eastAsia" w:ascii="宋体" w:hAnsi="宋体" w:eastAsia="宋体" w:cs="宋体"/>
                <w:color w:val="000000"/>
                <w:sz w:val="24"/>
                <w:szCs w:val="24"/>
                <w:highlight w:val="none"/>
                <w:lang w:val="en-US" w:eastAsia="zh-CN"/>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w:t>
            </w:r>
            <w:r>
              <w:rPr>
                <w:rFonts w:hint="eastAsia" w:ascii="宋体" w:hAnsi="宋体" w:eastAsia="宋体" w:cs="宋体"/>
                <w:color w:val="000000"/>
                <w:sz w:val="24"/>
                <w:szCs w:val="24"/>
                <w:highlight w:val="none"/>
                <w:lang w:val="en-US" w:eastAsia="zh-CN"/>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Digital Diagnostic</w:t>
            </w:r>
            <w:r>
              <w:rPr>
                <w:rFonts w:hint="eastAsia" w:ascii="宋体" w:hAnsi="宋体" w:eastAsia="宋体" w:cs="宋体"/>
                <w:color w:val="000000"/>
                <w:sz w:val="24"/>
                <w:szCs w:val="24"/>
                <w:highlight w:val="none"/>
                <w:lang w:val="en-US" w:eastAsia="zh-CN"/>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bl>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2.维保内容：</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飞利浦Ingenuity CT维保服务（除球管外其他所有相关配件的维保服务）；</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飞利浦Digital Diagnostic全保服务（包含所有工时，对常规备件、球管、高压线缆、电源模块、后处理工作站（含副台后处理工作站）相关全部配件的维保服务）。</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3.服务质量要求：满足采购人使用要求，保证设备达到符合原厂家合格标准及相应的国家质量标准的要求。</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4.客服要求：具备客户服务专线电话，365天开通，24小时有专人接听（提供专线号码）。</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5.为保证维保服务质量，投标人在国内有长期稳定的服务机构，服务机构需配备相关专业维保服务人员。</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6.维修响应要求：设备发生故障时，接到故障报修电话后1小时内响应，</w:t>
      </w:r>
      <w:r>
        <w:rPr>
          <w:rFonts w:hint="eastAsia" w:ascii="宋体" w:hAnsi="宋体" w:eastAsia="宋体" w:cs="宋体"/>
          <w:color w:val="000000"/>
          <w:sz w:val="24"/>
          <w:szCs w:val="24"/>
          <w:highlight w:val="none"/>
          <w:lang w:val="zh-CN" w:eastAsia="zh-CN"/>
        </w:rPr>
        <w:t xml:space="preserve">由资深工程师提供电话技术支持，答疑、即时诊断机器故障、制定维修方案。现场检修：接到维修通知后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小时内工程师必须到达现场（因不可抗力因素导致无法执行除外）。</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7.按照要求维修、保养、更换所含配件，每年免费上门为整机（含所有配件）提供设备的安全检查、影像质量检查、设备清洁保养、性能测试及校准、运行状态检查等。</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▲8.备件要求：供应商所提供的备件必须是原厂零备件，以满足设备运行要求，不会给设备带来安全隐患（需提供承诺函）。</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▲9.升级服务要求：供应商需免费提供设备的系统软件及硬件的安全性改版升级和技术支持；并保证所有系统软件（非新增加功能软件）为最新版本（需提供承诺函）；</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Times New Roman"/>
          <w:b/>
          <w:bCs w:val="0"/>
          <w:i/>
          <w:iCs/>
          <w:color w:val="000000"/>
          <w:sz w:val="24"/>
          <w:szCs w:val="24"/>
          <w:highlight w:val="none"/>
          <w:lang w:val="en-US" w:eastAsia="zh-CN" w:bidi="ar-SA"/>
        </w:rPr>
        <w:t xml:space="preserve">本项目涉及更换高压、球管、平板探测器等重要零配件时，中标方需提供零配件的报关单备查。（提供承诺函加盖公章）</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11.开机率保证：≥95%，按照一年 365 天计算，即停机时间不超过 18 天，开机率未达标赔偿方式：1：7 赔偿，即停机每超出一天，维修服务合同期限自动延长7天。</w:t>
      </w:r>
      <w:r>
        <w:rPr>
          <w:rFonts w:hint="eastAsia" w:ascii="仿宋" w:hAnsi="仿宋" w:eastAsia="仿宋" w:cs="仿宋"/>
          <w:bCs/>
          <w:color w:val="000000"/>
          <w:sz w:val="24"/>
          <w:szCs w:val="28"/>
          <w:highlight w:val="none"/>
          <w:lang w:val="en-US" w:eastAsia="zh-CN"/>
        </w:rPr>
        <w:t xml:space="preserve"> </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tabs>
          <w:tab w:val="left" w:pos="26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12.系统保养</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（1）对保修设备及相关配套设备作出日常保养计划，定期进行保养、维护，并做好记录。</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（2）可对医院工程技术人员进行培训，以便及时处理简单故障保证设备正常使用。</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（3）定期保养与维护：</w:t>
      </w:r>
      <w:r>
        <w:rPr>
          <w:rFonts w:hint="eastAsia" w:ascii="宋体" w:hAnsi="宋体" w:eastAsia="宋体" w:cs="宋体"/>
          <w:color w:val="000000"/>
          <w:sz w:val="24"/>
          <w:szCs w:val="24"/>
          <w:highlight w:val="none"/>
          <w:lang w:val="en-US" w:eastAsia="zh-CN"/>
        </w:rPr>
        <w:t xml:space="preserve">维保单位须保证机器处于优良运行状态，维修服务合同期内</w:t>
      </w:r>
      <w:r>
        <w:rPr>
          <w:rFonts w:hint="eastAsia" w:ascii="宋体" w:hAnsi="宋体" w:eastAsia="宋体" w:cs="宋体"/>
          <w:color w:val="000000"/>
          <w:sz w:val="24"/>
          <w:szCs w:val="24"/>
          <w:highlight w:val="none"/>
          <w:lang w:val="zh-CN" w:eastAsia="zh-CN"/>
        </w:rPr>
        <w:t xml:space="preserve">每季度提供≥</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次按原厂标准进行预防性保养及巡检，保养、巡检后留记录交医院存档。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（4）年检时，</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val="zh-CN" w:eastAsia="zh-CN"/>
        </w:rPr>
        <w:t xml:space="preserve">负责机器调试到最佳状态，保证全部检测指标达</w:t>
      </w:r>
      <w:r>
        <w:rPr>
          <w:rFonts w:hint="eastAsia" w:ascii="宋体" w:hAnsi="宋体" w:eastAsia="宋体" w:cs="宋体"/>
          <w:color w:val="000000"/>
          <w:sz w:val="24"/>
          <w:szCs w:val="24"/>
          <w:highlight w:val="none"/>
          <w:lang w:val="en-US" w:eastAsia="zh-CN"/>
        </w:rPr>
        <w:t xml:space="preserve">到</w:t>
      </w:r>
      <w:r>
        <w:rPr>
          <w:rFonts w:hint="eastAsia" w:ascii="宋体" w:hAnsi="宋体" w:eastAsia="宋体" w:cs="宋体"/>
          <w:color w:val="000000"/>
          <w:sz w:val="24"/>
          <w:szCs w:val="24"/>
          <w:highlight w:val="none"/>
          <w:lang w:val="zh-CN" w:eastAsia="zh-CN"/>
        </w:rPr>
        <w:t xml:space="preserve">国家标准，</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val="zh-CN" w:eastAsia="zh-CN"/>
        </w:rPr>
        <w:t xml:space="preserve">保证该设备能通过相关专业检测，并提供当年的系统状态报告。报告包括维修维护年度计划、工作台账、更换配件清单、设备性能评估及故障分析、使用维护建议等内容。</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（5）保修期内提供不限次数现场维修，免费更换所有故障配件，更换配件需为原厂配件，CT球管除外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（6）供应商在为该设备提供维修保养服务工作中，不得额外收取维修需更换的配件费、工时费、差旅费，自行承担服务团队所需工具、材料等一切费用。</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（7）所保设备提供系统及配套设备的相关软件、数字备份，并建立档案。</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.专利权和保密要求</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val="zh-CN" w:eastAsia="zh-CN"/>
        </w:rPr>
        <w:t xml:space="preserve">应保证采购人在使用该货物或其任何一部分时，不受第三方侵权指控。同时，</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val="zh-CN" w:eastAsia="zh-CN"/>
        </w:rPr>
        <w:t xml:space="preserve">保证不向第三方泄露采购人提供的技术文件等资料。</w:t>
      </w:r>
      <w:r>
        <w:rPr>
          <w:rFonts w:hint="eastAsia" w:ascii="宋体" w:hAnsi="宋体" w:eastAsia="宋体" w:cs="宋体"/>
          <w:color w:val="000000"/>
          <w:sz w:val="24"/>
          <w:szCs w:val="24"/>
          <w:highlight w:val="none"/>
          <w:lang w:val="zh-CN"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zh-CN" w:eastAsia="zh-CN"/>
        </w:rPr>
        <w:t xml:space="preserve">中标人派遣的工作人员在检修、拆装等过程中凡涉及一切安全事件（故），均由中标人承担相应赔偿责任，与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无关；中标人在维保过程中若造成</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维保范围以外的固定资产、人员等损坏或损伤，中标人应承担全部赔偿责任。</w:t>
      </w:r>
      <w:r>
        <w:rPr>
          <w:rFonts w:hint="eastAsia" w:ascii="宋体" w:hAnsi="宋体" w:eastAsia="宋体" w:cs="宋体"/>
          <w:color w:val="000000"/>
          <w:sz w:val="24"/>
          <w:szCs w:val="24"/>
          <w:highlight w:val="none"/>
          <w:lang w:val="zh-CN" w:eastAsia="zh-CN"/>
        </w:rPr>
      </w:r>
      <w:r/>
    </w:p>
    <w:p>
      <w:pPr>
        <w:pStyle w:val="1164"/>
        <w:contextualSpacing/>
        <w:ind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zh-CN" w:eastAsia="zh-CN"/>
        </w:rPr>
        <w:t xml:space="preserve">在维保服务期内，如设备进行固定资产处置（包括但不限于报废、捐赠）导致设备所有权发生改变的情况下，维保服务自行终止，费用按实际服务时长进行结算（按日结算）。</w:t>
      </w:r>
      <w:r>
        <w:rPr>
          <w:rFonts w:ascii="宋体" w:hAnsi="宋体" w:eastAsia="宋体"/>
          <w:color w:val="000000"/>
          <w:sz w:val="24"/>
          <w:szCs w:val="24"/>
          <w:highlight w:val="none"/>
          <w:lang w:val="en-US" w:eastAsia="zh-CN"/>
        </w:rPr>
      </w:r>
      <w:r/>
    </w:p>
    <w:p>
      <w:pPr>
        <w:pStyle w:val="1164"/>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0"/>
        <w:spacing w:line="440" w:lineRule="exact"/>
        <w:rPr>
          <w:rFonts w:ascii="宋体" w:hAnsi="宋体"/>
          <w:b/>
          <w:color w:val="000000"/>
          <w:highlight w:val="none"/>
        </w:rPr>
      </w:pPr>
      <w:r>
        <w:rPr>
          <w:rFonts w:ascii="宋体" w:hAnsi="宋体"/>
          <w:b/>
          <w:color w:val="000000"/>
          <w:highlight w:val="none"/>
        </w:rPr>
      </w:r>
      <w:r/>
    </w:p>
    <w:p>
      <w:pPr>
        <w:pStyle w:val="1070"/>
        <w:rPr>
          <w:rFonts w:ascii="宋体" w:hAnsi="宋体"/>
          <w:bCs/>
          <w:color w:val="000000"/>
          <w:highlight w:val="none"/>
        </w:rPr>
      </w:pPr>
      <w:r>
        <w:rPr>
          <w:rFonts w:ascii="宋体" w:hAnsi="宋体"/>
          <w:bCs/>
          <w:color w:val="00000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0"/>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乙方根据甲方需求提供下列服务：飞利浦CT、DR维保服务，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1109"/>
        <w:ind w:firstLine="480"/>
        <w:spacing w:line="360" w:lineRule="auto"/>
        <w:rPr>
          <w:rFonts w:hAnsi="宋体" w:eastAsia="宋体" w:cs="宋体"/>
          <w:b/>
          <w:color w:val="000000"/>
          <w:sz w:val="24"/>
          <w:szCs w:val="24"/>
          <w:highlight w:val="none"/>
          <w:lang w:val="en-US" w:eastAsia="zh-CN"/>
        </w:rPr>
      </w:pPr>
      <w:r>
        <w:rPr>
          <w:rFonts w:hint="eastAsia" w:hAnsi="宋体" w:cs="宋体"/>
          <w:b w:val="0"/>
          <w:bCs/>
          <w:color w:val="000000"/>
          <w:sz w:val="24"/>
          <w:szCs w:val="24"/>
          <w:highlight w:val="none"/>
          <w:lang w:eastAsia="zh-CN"/>
        </w:rPr>
        <w:t xml:space="preserve">（</w:t>
      </w:r>
      <w:r>
        <w:rPr>
          <w:rFonts w:hint="eastAsia" w:hAnsi="宋体" w:cs="宋体"/>
          <w:b w:val="0"/>
          <w:bCs/>
          <w:color w:val="000000"/>
          <w:sz w:val="24"/>
          <w:szCs w:val="24"/>
          <w:highlight w:val="none"/>
          <w:lang w:val="en-US" w:eastAsia="zh-CN"/>
        </w:rPr>
        <w:t xml:space="preserve">一</w:t>
      </w:r>
      <w:r>
        <w:rPr>
          <w:rFonts w:hint="eastAsia" w:hAnsi="宋体" w:cs="宋体"/>
          <w:b w:val="0"/>
          <w:bCs/>
          <w:color w:val="000000"/>
          <w:sz w:val="24"/>
          <w:szCs w:val="24"/>
          <w:highlight w:val="none"/>
          <w:lang w:eastAsia="zh-CN"/>
        </w:rPr>
        <w:t xml:space="preserve">）</w:t>
      </w:r>
      <w:r>
        <w:rPr>
          <w:rFonts w:hint="eastAsia" w:hAnsi="宋体" w:cs="宋体"/>
          <w:b w:val="0"/>
          <w:bCs/>
          <w:color w:val="000000"/>
          <w:sz w:val="24"/>
          <w:szCs w:val="24"/>
          <w:highlight w:val="none"/>
          <w:lang w:val="en-US" w:eastAsia="zh-CN"/>
        </w:rPr>
        <w:t xml:space="preserve">维保设备：</w:t>
      </w:r>
      <w:r>
        <w:rPr>
          <w:rFonts w:hint="eastAsia" w:ascii="宋体" w:hAnsi="宋体"/>
          <w:bCs/>
          <w:color w:val="000000"/>
          <w:sz w:val="24"/>
          <w:highlight w:val="none"/>
          <w:lang w:eastAsia="zh-CN"/>
        </w:rPr>
        <w:t xml:space="preserve">飞利浦CT：1台；飞利浦DR：1台。</w:t>
      </w:r>
      <w:r>
        <w:rPr>
          <w:rFonts w:hAnsi="宋体" w:eastAsia="宋体" w:cs="宋体"/>
          <w:b/>
          <w:color w:val="000000"/>
          <w:sz w:val="24"/>
          <w:szCs w:val="24"/>
          <w:highlight w:val="none"/>
          <w:lang w:val="en-US" w:eastAsia="zh-CN"/>
        </w:rPr>
      </w:r>
      <w:r/>
    </w:p>
    <w:p>
      <w:pPr>
        <w:pStyle w:val="1109"/>
        <w:ind w:firstLine="480"/>
        <w:spacing w:line="360" w:lineRule="auto"/>
        <w:rPr>
          <w:rFonts w:hAnsi="宋体" w:eastAsia="宋体" w:cs="宋体"/>
          <w:b/>
          <w:color w:val="000000"/>
          <w:sz w:val="24"/>
          <w:szCs w:val="24"/>
          <w:highlight w:val="none"/>
          <w:lang w:val="en-US" w:eastAsia="zh-CN"/>
        </w:rPr>
      </w:pPr>
      <w:r>
        <w:rPr>
          <w:rFonts w:hint="eastAsia" w:hAnsi="宋体" w:cs="宋体"/>
          <w:b w:val="0"/>
          <w:bCs/>
          <w:color w:val="000000"/>
          <w:sz w:val="24"/>
          <w:szCs w:val="24"/>
          <w:highlight w:val="none"/>
          <w:lang w:eastAsia="zh-CN"/>
        </w:rPr>
        <w:t xml:space="preserve">（</w:t>
      </w:r>
      <w:r>
        <w:rPr>
          <w:rFonts w:hint="eastAsia" w:hAnsi="宋体" w:cs="宋体"/>
          <w:b w:val="0"/>
          <w:bCs/>
          <w:color w:val="000000"/>
          <w:sz w:val="24"/>
          <w:szCs w:val="24"/>
          <w:highlight w:val="none"/>
          <w:lang w:val="en-US" w:eastAsia="zh-CN"/>
        </w:rPr>
        <w:t xml:space="preserve">二</w:t>
      </w:r>
      <w:r>
        <w:rPr>
          <w:rFonts w:hint="eastAsia" w:hAnsi="宋体" w:cs="宋体"/>
          <w:b w:val="0"/>
          <w:bCs/>
          <w:color w:val="000000"/>
          <w:sz w:val="24"/>
          <w:szCs w:val="24"/>
          <w:highlight w:val="none"/>
          <w:lang w:eastAsia="zh-CN"/>
        </w:rPr>
        <w:t xml:space="preserve">）</w:t>
      </w:r>
      <w:r>
        <w:rPr>
          <w:rFonts w:hint="eastAsia" w:hAnsi="宋体" w:cs="宋体"/>
          <w:b w:val="0"/>
          <w:bCs/>
          <w:color w:val="000000"/>
          <w:sz w:val="24"/>
          <w:szCs w:val="24"/>
          <w:highlight w:val="none"/>
          <w:lang w:val="en-US" w:eastAsia="zh-CN"/>
        </w:rPr>
        <w:t xml:space="preserve">技术要求</w:t>
      </w:r>
      <w:r>
        <w:rPr>
          <w:rFonts w:hAnsi="宋体" w:eastAsia="宋体" w:cs="宋体"/>
          <w:b/>
          <w:color w:val="000000"/>
          <w:sz w:val="24"/>
          <w:szCs w:val="24"/>
          <w:highlight w:val="none"/>
          <w:lang w:val="en-US" w:eastAsia="zh-CN"/>
        </w:rPr>
      </w:r>
      <w:r/>
    </w:p>
    <w:p>
      <w:pPr>
        <w:pStyle w:val="1164"/>
        <w:contextualSpacing/>
        <w:ind w:left="-2" w:firstLine="480"/>
        <w:jc w:val="left"/>
        <w:spacing w:line="360" w:lineRule="auto"/>
        <w:tabs>
          <w:tab w:val="left" w:pos="567" w:leader="none"/>
        </w:tabs>
        <w:rPr>
          <w:rFonts w:ascii="宋体" w:hAnsi="宋体" w:eastAsia="宋体"/>
          <w:color w:val="000000"/>
          <w:sz w:val="24"/>
          <w:szCs w:val="24"/>
          <w:highlight w:val="none"/>
          <w:lang w:val="en-US" w:eastAsia="zh-CN"/>
        </w:rPr>
      </w:pPr>
      <w:r>
        <w:rPr>
          <w:rFonts w:hint="eastAsia" w:ascii="宋体" w:hAnsi="宋体"/>
          <w:color w:val="000000"/>
          <w:sz w:val="24"/>
          <w:highlight w:val="none"/>
          <w:lang w:val="en-US" w:eastAsia="zh-CN"/>
        </w:rPr>
        <w:t xml:space="preserve">1.设备型号</w:t>
      </w:r>
      <w:r>
        <w:rPr>
          <w:rFonts w:ascii="宋体" w:hAnsi="宋体" w:eastAsia="宋体"/>
          <w:color w:val="000000"/>
          <w:sz w:val="24"/>
          <w:szCs w:val="24"/>
          <w:highlight w:val="none"/>
          <w:lang w:val="en-US" w:eastAsia="zh-CN"/>
        </w:rPr>
      </w:r>
      <w:r/>
    </w:p>
    <w:tbl>
      <w:tblPr>
        <w:tblStyle w:val="113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9"/>
        <w:gridCol w:w="1194"/>
        <w:gridCol w:w="2905"/>
        <w:gridCol w:w="1126"/>
      </w:tblGrid>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设备名称</w:t>
            </w:r>
            <w:r>
              <w:rPr>
                <w:rFonts w:hint="eastAsia" w:ascii="宋体" w:hAnsi="宋体" w:eastAsia="宋体" w:cs="宋体"/>
                <w:color w:val="000000"/>
                <w:sz w:val="24"/>
                <w:szCs w:val="24"/>
                <w:highlight w:val="none"/>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品牌</w:t>
            </w:r>
            <w:r>
              <w:rPr>
                <w:rFonts w:hint="eastAsia" w:ascii="宋体" w:hAnsi="宋体" w:eastAsia="宋体" w:cs="宋体"/>
                <w:color w:val="000000"/>
                <w:sz w:val="24"/>
                <w:szCs w:val="24"/>
                <w:highlight w:val="none"/>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r>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X 射线计算机体层摄影设备维保</w:t>
            </w:r>
            <w:r>
              <w:rPr>
                <w:rFonts w:hint="eastAsia" w:ascii="宋体" w:hAnsi="宋体" w:eastAsia="宋体" w:cs="宋体"/>
                <w:color w:val="000000"/>
                <w:sz w:val="24"/>
                <w:szCs w:val="24"/>
                <w:highlight w:val="none"/>
                <w:lang w:val="en-US"/>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w:t>
            </w:r>
            <w:r>
              <w:rPr>
                <w:rFonts w:hint="eastAsia" w:ascii="宋体" w:hAnsi="宋体" w:eastAsia="宋体" w:cs="宋体"/>
                <w:color w:val="000000"/>
                <w:sz w:val="24"/>
                <w:szCs w:val="24"/>
                <w:highlight w:val="none"/>
                <w:lang w:val="en-US" w:eastAsia="zh-CN"/>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Ingenuity CT</w:t>
            </w:r>
            <w:r>
              <w:rPr>
                <w:rFonts w:hint="eastAsia" w:ascii="宋体" w:hAnsi="宋体" w:eastAsia="宋体" w:cs="宋体"/>
                <w:color w:val="000000"/>
                <w:sz w:val="24"/>
                <w:szCs w:val="24"/>
                <w:highlight w:val="none"/>
                <w:lang w:val="en-US" w:eastAsia="zh-CN"/>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台</w:t>
            </w:r>
            <w:r>
              <w:rPr>
                <w:rFonts w:hint="eastAsia" w:ascii="宋体" w:hAnsi="宋体" w:eastAsia="宋体" w:cs="宋体"/>
                <w:color w:val="000000"/>
                <w:sz w:val="24"/>
                <w:szCs w:val="24"/>
                <w:highlight w:val="none"/>
                <w:lang w:val="en-US" w:eastAsia="zh-CN"/>
              </w:rPr>
            </w:r>
            <w:r/>
          </w:p>
        </w:tc>
      </w:tr>
      <w:tr>
        <w:trPr/>
        <w:tc>
          <w:tcPr>
            <w:tcW w:w="2185"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DR维保</w:t>
            </w:r>
            <w:r>
              <w:rPr>
                <w:rFonts w:hint="eastAsia" w:ascii="宋体" w:hAnsi="宋体" w:eastAsia="宋体" w:cs="宋体"/>
                <w:color w:val="000000"/>
                <w:sz w:val="24"/>
                <w:szCs w:val="24"/>
                <w:highlight w:val="none"/>
                <w:lang w:val="en-US" w:eastAsia="zh-CN"/>
              </w:rPr>
            </w:r>
            <w:r/>
          </w:p>
        </w:tc>
        <w:tc>
          <w:tcPr>
            <w:tcW w:w="643"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w:t>
            </w:r>
            <w:r>
              <w:rPr>
                <w:rFonts w:hint="eastAsia" w:ascii="宋体" w:hAnsi="宋体" w:eastAsia="宋体" w:cs="宋体"/>
                <w:color w:val="000000"/>
                <w:sz w:val="24"/>
                <w:szCs w:val="24"/>
                <w:highlight w:val="none"/>
                <w:lang w:val="en-US" w:eastAsia="zh-CN"/>
              </w:rPr>
            </w:r>
            <w:r/>
          </w:p>
        </w:tc>
        <w:tc>
          <w:tcPr>
            <w:tcW w:w="1564"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Digital Diagnostic</w:t>
            </w:r>
            <w:r>
              <w:rPr>
                <w:rFonts w:hint="eastAsia" w:ascii="宋体" w:hAnsi="宋体" w:eastAsia="宋体" w:cs="宋体"/>
                <w:color w:val="000000"/>
                <w:sz w:val="24"/>
                <w:szCs w:val="24"/>
                <w:highlight w:val="none"/>
                <w:lang w:val="en-US" w:eastAsia="zh-CN"/>
              </w:rPr>
            </w:r>
            <w:r/>
          </w:p>
        </w:tc>
        <w:tc>
          <w:tcPr>
            <w:tcW w:w="606" w:type="dxa"/>
            <w:vAlign w:val="top"/>
            <w:textDirection w:val="lrTb"/>
            <w:noWrap w:val="false"/>
          </w:tcPr>
          <w:p>
            <w:pPr>
              <w:pStyle w:val="1164"/>
              <w:contextualSpacing/>
              <w:ind w:lef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bl>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2.维保内容：</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飞利浦Ingenuity CT维保服务（除球管外其他所有相关配件的维保服务）；</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飞利浦Digital Diagnostic全保服务（包含所有工时，对常规备件、球管、高压线缆、电源模块、后处理工作站（含副台后处理工作站）相关全部配件的维保服务）。</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3.服务质量要求：满足甲方使用要求，保证设备达到符合原厂家合格标准及相应的国家质量标准的要求。</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4.客服要求：具备客户服务专线电话，365天开通，24小时有专人接听（提供专线号码）。</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5.为保证维保服务质量，乙方在国内有长期稳定的服务机构，服务机构需配备相关专业维保服务人员。</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6.维修响应要求：设备发生故障时，接到故障报修电话后1小时内响应，</w:t>
      </w:r>
      <w:r>
        <w:rPr>
          <w:rFonts w:hint="eastAsia" w:ascii="宋体" w:hAnsi="宋体" w:eastAsia="宋体" w:cs="宋体"/>
          <w:color w:val="000000"/>
          <w:sz w:val="24"/>
          <w:szCs w:val="24"/>
          <w:highlight w:val="none"/>
          <w:lang w:val="zh-CN" w:eastAsia="zh-CN"/>
        </w:rPr>
        <w:t xml:space="preserve">由资深工程师提供电话技术支持，答疑、即时诊断机器故障、制定维修方案。现场检修：接到维修通知后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小时内工程师必须到达现场（因不可抗力因素导致无法执行除外）。</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7.按照要求维修、保养、更换所含配件，每年免费上门为整机（含所有配件）提供设备的安全检查、影像质量检查、设备清洁保养、性能测试及校准、运行状态检查等。</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▲8.备件要求：乙方所提供的备件必须是原厂零备件，以满足设备运行要求，不会给设备带来安全隐患（需提供承诺函）。</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▲9.升级服务要求：乙方需免费提供设备的系统软件及硬件的安全性改版升级和技术支持；并保证所有系统软件（非新增加功能软件）为最新版本（需提供承诺函）；</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Times New Roman"/>
          <w:b/>
          <w:bCs w:val="0"/>
          <w:i/>
          <w:iCs/>
          <w:color w:val="000000"/>
          <w:sz w:val="24"/>
          <w:szCs w:val="24"/>
          <w:highlight w:val="none"/>
          <w:lang w:val="en-US" w:eastAsia="zh-CN" w:bidi="ar-SA"/>
        </w:rPr>
        <w:t xml:space="preserve">本项目涉及更换高压、球管、平板探测器等重要零配件时，乙方需提供零配件的报关单备查。（提供承诺函加盖公章）</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仿宋" w:hAnsi="仿宋" w:eastAsia="仿宋" w:cs="仿宋"/>
          <w:bCs/>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11.开机率保证：≥95%，按照一年 365 天计算，即停机时间不超过 18 天，开机率未达标赔偿方式：1：7 赔偿，即停机每超出一天，维修服务合同期限自动延长7天。</w:t>
      </w:r>
      <w:r>
        <w:rPr>
          <w:rFonts w:hint="eastAsia" w:ascii="仿宋" w:hAnsi="仿宋" w:eastAsia="仿宋" w:cs="仿宋"/>
          <w:bCs/>
          <w:color w:val="000000"/>
          <w:sz w:val="24"/>
          <w:szCs w:val="28"/>
          <w:highlight w:val="none"/>
          <w:lang w:val="en-US" w:eastAsia="zh-CN"/>
        </w:rPr>
        <w:t xml:space="preserve"> </w:t>
      </w:r>
      <w:r>
        <w:rPr>
          <w:rFonts w:hint="eastAsia" w:ascii="仿宋" w:hAnsi="仿宋" w:eastAsia="仿宋" w:cs="仿宋"/>
          <w:bCs/>
          <w:color w:val="000000"/>
          <w:sz w:val="24"/>
          <w:szCs w:val="28"/>
          <w:highlight w:val="none"/>
          <w:lang w:val="en-US" w:eastAsia="zh-CN"/>
        </w:rPr>
      </w:r>
      <w:r/>
    </w:p>
    <w:p>
      <w:pPr>
        <w:pStyle w:val="1164"/>
        <w:contextualSpacing/>
        <w:ind w:firstLine="480"/>
        <w:jc w:val="left"/>
        <w:spacing w:line="360" w:lineRule="auto"/>
        <w:tabs>
          <w:tab w:val="left" w:pos="26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12.系统保养</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（1）对保修设备及相关配套设备作出日常保养计划，定期进行保养、维护，并做好记录。</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（2）可对医院工程技术人员进行培训，以便及时处理简单故障保证设备正常使用。</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（3）定期保养与维护：</w:t>
      </w:r>
      <w:r>
        <w:rPr>
          <w:rFonts w:hint="eastAsia" w:ascii="宋体" w:hAnsi="宋体" w:eastAsia="宋体" w:cs="宋体"/>
          <w:color w:val="000000"/>
          <w:sz w:val="24"/>
          <w:szCs w:val="24"/>
          <w:highlight w:val="none"/>
          <w:lang w:val="en-US" w:eastAsia="zh-CN"/>
        </w:rPr>
        <w:t xml:space="preserve">维保单位须保证机器处于优良运行状态，维修服务合同期内</w:t>
      </w:r>
      <w:r>
        <w:rPr>
          <w:rFonts w:hint="eastAsia" w:ascii="宋体" w:hAnsi="宋体" w:eastAsia="宋体" w:cs="宋体"/>
          <w:color w:val="000000"/>
          <w:sz w:val="24"/>
          <w:szCs w:val="24"/>
          <w:highlight w:val="none"/>
          <w:lang w:val="zh-CN" w:eastAsia="zh-CN"/>
        </w:rPr>
        <w:t xml:space="preserve">每季度提供≥</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次按原厂标准进行预防性保养及巡检，保养、巡检后留记录交医院存档。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（4）年检时，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负责机器调试到最佳状态，保证全部检测指标达</w:t>
      </w:r>
      <w:r>
        <w:rPr>
          <w:rFonts w:hint="eastAsia" w:ascii="宋体" w:hAnsi="宋体" w:eastAsia="宋体" w:cs="宋体"/>
          <w:color w:val="000000"/>
          <w:sz w:val="24"/>
          <w:szCs w:val="24"/>
          <w:highlight w:val="none"/>
          <w:lang w:val="en-US" w:eastAsia="zh-CN"/>
        </w:rPr>
        <w:t xml:space="preserve">到</w:t>
      </w:r>
      <w:r>
        <w:rPr>
          <w:rFonts w:hint="eastAsia" w:ascii="宋体" w:hAnsi="宋体" w:eastAsia="宋体" w:cs="宋体"/>
          <w:color w:val="000000"/>
          <w:sz w:val="24"/>
          <w:szCs w:val="24"/>
          <w:highlight w:val="none"/>
          <w:lang w:val="zh-CN" w:eastAsia="zh-CN"/>
        </w:rPr>
        <w:t xml:space="preserve">国家标准，</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val="zh-CN" w:eastAsia="zh-CN"/>
        </w:rPr>
        <w:t xml:space="preserve">保证该设备能通过相关专业检测，并提供当年的系统状态报告。报告包括维修维护年度计划、工作台账、更换配件清单、设备性能评估及故障分析、使用维护建议等内容。</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（5）保修期内提供不限次数现场维修，免费更换所有故障配件，更换配件需为原厂配件，CT球管除外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（6）</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在为该设备提供维修保养服务工作中，不得额外收取维修需更换的配件费、工时费、差旅费，自行承担服务团队所需工具、材料等一切费用。</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（7）所保设备提供系统及配套设备的相关软件、数字备份，并建立档案。</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.专利权和保密要求</w:t>
      </w:r>
      <w:r>
        <w:rPr>
          <w:rFonts w:hint="eastAsia"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应保证</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eastAsia="zh-CN"/>
        </w:rPr>
        <w:t xml:space="preserve">在使用该货物或其任何一部分时，不受第三方侵权指控。同时，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保证不向第三方泄露</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eastAsia="zh-CN"/>
        </w:rPr>
        <w:t xml:space="preserve">提供的技术文件等资料。</w:t>
      </w:r>
      <w:r>
        <w:rPr>
          <w:rFonts w:hint="eastAsia" w:ascii="宋体" w:hAnsi="宋体" w:eastAsia="宋体" w:cs="宋体"/>
          <w:color w:val="000000"/>
          <w:sz w:val="24"/>
          <w:szCs w:val="24"/>
          <w:highlight w:val="none"/>
          <w:lang w:val="zh-CN" w:eastAsia="zh-CN"/>
        </w:rPr>
      </w:r>
      <w:r/>
    </w:p>
    <w:p>
      <w:pPr>
        <w:pStyle w:val="1164"/>
        <w:contextualSpacing/>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14.乙方</w:t>
      </w:r>
      <w:r>
        <w:rPr>
          <w:rFonts w:hint="eastAsia" w:ascii="宋体" w:hAnsi="宋体" w:eastAsia="宋体" w:cs="宋体"/>
          <w:color w:val="000000"/>
          <w:sz w:val="24"/>
          <w:szCs w:val="24"/>
          <w:highlight w:val="none"/>
          <w:lang w:val="zh-CN" w:eastAsia="zh-CN"/>
        </w:rPr>
        <w:t xml:space="preserve">派遣的工作人员在检修、拆装等过程中凡涉及一切安全事件（故），均由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承担相应赔偿责任，与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eastAsia="zh-CN"/>
        </w:rPr>
        <w:t xml:space="preserve">无关；</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在维保过程中若造成</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eastAsia="zh-CN"/>
        </w:rPr>
        <w:t xml:space="preserve">维保范围以外的固定资产、人员等损坏或损伤，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eastAsia="zh-CN"/>
        </w:rPr>
        <w:t xml:space="preserve">应承担全部赔偿责任。</w:t>
      </w:r>
      <w:r>
        <w:rPr>
          <w:rFonts w:hint="eastAsia" w:ascii="宋体" w:hAnsi="宋体" w:eastAsia="宋体" w:cs="宋体"/>
          <w:color w:val="000000"/>
          <w:sz w:val="24"/>
          <w:szCs w:val="24"/>
          <w:highlight w:val="none"/>
          <w:lang w:val="zh-CN" w:eastAsia="zh-CN"/>
        </w:rPr>
      </w:r>
      <w:r/>
    </w:p>
    <w:p>
      <w:pPr>
        <w:pStyle w:val="1109"/>
        <w:ind w:firstLine="480"/>
        <w:spacing w:line="360" w:lineRule="auto"/>
        <w:rPr>
          <w:rFonts w:hAnsi="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zh-CN" w:eastAsia="zh-CN"/>
        </w:rPr>
        <w:t xml:space="preserve">在维保服务期内，如设备进行固定资产处置（包括但不限于报废、捐赠）导致设备所有权发生改变的情况下，维保服务自行终止，费用按实际服务时长进行结算（按日结算）。</w:t>
      </w:r>
      <w:r>
        <w:rPr>
          <w:rFonts w:hAnsi="宋体" w:cs="宋体"/>
          <w:b/>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 </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本合同总价包括招标文件所确定的采购范围相应服务的提供、人员（包括工资和补贴）、配件费、技术费、工时费、差旅费、物流费、办公场所及设施、保险、劳保、管理、</w:t>
      </w:r>
      <w:r>
        <w:rPr>
          <w:rFonts w:hint="eastAsia" w:hAnsi="宋体" w:cs="宋体"/>
          <w:color w:val="000000"/>
          <w:sz w:val="24"/>
          <w:szCs w:val="24"/>
          <w:highlight w:val="none"/>
        </w:rPr>
        <w:t xml:space="preserve">代理机构服务费</w:t>
      </w: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各种税费、利润、税金、政策性文件规定及合同包含的所有风险、责任等各项应有费用，以及为完成该项服务项目所涉及到的一切相关费用，采购人不再支付其他任何费用。</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07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本项目服务期限为三年（   年  月   日-   年  月  日），合同一年一签。本合同履行期限自    年  月  日至   年  月  日。</w:t>
      </w:r>
      <w:r>
        <w:rPr>
          <w:rFonts w:hint="eastAsia" w:ascii="宋体" w:hAnsi="宋体" w:eastAsia="宋体" w:cs="宋体"/>
          <w:color w:val="000000"/>
          <w:sz w:val="24"/>
          <w:highlight w:val="none"/>
          <w:lang w:eastAsia="zh-CN"/>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1164"/>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维保费用按年度结算。</w:t>
      </w:r>
      <w:r>
        <w:rPr>
          <w:rFonts w:hint="eastAsia" w:ascii="宋体" w:hAnsi="宋体"/>
          <w:b w:val="0"/>
          <w:bCs/>
          <w:color w:val="000000"/>
          <w:sz w:val="24"/>
          <w:szCs w:val="24"/>
          <w:highlight w:val="none"/>
          <w:lang w:val="en-US" w:eastAsia="zh-CN" w:bidi="ar-SA"/>
        </w:rPr>
        <w:t xml:space="preserve">每年度服务开始后支付年度维保费用的40%；每年度服务期结束后，根据考核结果支付剩余年度维保费用。</w:t>
      </w:r>
      <w:r>
        <w:rPr>
          <w:rFonts w:ascii="宋体" w:hAnsi="宋体"/>
          <w:b w:val="0"/>
          <w:bCs/>
          <w:color w:val="000000"/>
          <w:sz w:val="24"/>
          <w:szCs w:val="24"/>
          <w:highlight w:val="none"/>
          <w:lang w:val="en-US" w:eastAsia="zh-CN" w:bidi="ar-SA"/>
        </w:rPr>
      </w:r>
      <w:r/>
    </w:p>
    <w:p>
      <w:pPr>
        <w:pStyle w:val="1070"/>
        <w:ind w:firstLine="480"/>
        <w:spacing w:line="360" w:lineRule="auto"/>
        <w:rPr>
          <w:rFonts w:ascii="宋体" w:hAnsi="宋体"/>
          <w:b w:val="0"/>
          <w:bCs/>
          <w:color w:val="000000"/>
          <w:sz w:val="24"/>
          <w:szCs w:val="24"/>
          <w:highlight w:val="none"/>
          <w:lang w:val="en-US" w:eastAsia="zh-CN" w:bidi="ar-SA"/>
        </w:rPr>
      </w:pPr>
      <w:r>
        <w:rPr>
          <w:rFonts w:hint="eastAsia" w:ascii="宋体" w:hAnsi="宋体"/>
          <w:b w:val="0"/>
          <w:bCs/>
          <w:color w:val="000000"/>
          <w:sz w:val="24"/>
          <w:szCs w:val="24"/>
          <w:highlight w:val="none"/>
          <w:lang w:val="en-US" w:eastAsia="zh-CN" w:bidi="ar-SA"/>
        </w:rPr>
        <w:t xml:space="preserve">注：</w:t>
      </w:r>
      <w:r>
        <w:rPr>
          <w:rFonts w:ascii="宋体" w:hAnsi="宋体"/>
          <w:b w:val="0"/>
          <w:bCs/>
          <w:color w:val="000000"/>
          <w:sz w:val="24"/>
          <w:szCs w:val="24"/>
          <w:highlight w:val="none"/>
          <w:lang w:val="en-US" w:eastAsia="zh-CN" w:bidi="ar-SA"/>
        </w:rPr>
        <w:t xml:space="preserve">付款前</w:t>
      </w:r>
      <w:r>
        <w:rPr>
          <w:rFonts w:hint="eastAsia" w:ascii="宋体" w:hAnsi="宋体"/>
          <w:b w:val="0"/>
          <w:bCs/>
          <w:color w:val="000000"/>
          <w:sz w:val="24"/>
          <w:szCs w:val="24"/>
          <w:highlight w:val="none"/>
          <w:lang w:val="en-US" w:eastAsia="zh-CN" w:bidi="ar-SA"/>
        </w:rPr>
        <w:t xml:space="preserve">乙方</w:t>
      </w:r>
      <w:r>
        <w:rPr>
          <w:rFonts w:ascii="宋体" w:hAnsi="宋体"/>
          <w:b w:val="0"/>
          <w:bCs/>
          <w:color w:val="000000"/>
          <w:sz w:val="24"/>
          <w:szCs w:val="24"/>
          <w:highlight w:val="none"/>
          <w:lang w:val="en-US" w:eastAsia="zh-CN" w:bidi="ar-SA"/>
        </w:rPr>
        <w:t xml:space="preserve">应开具正式增值税发票</w:t>
      </w:r>
      <w:r>
        <w:rPr>
          <w:rFonts w:hint="eastAsia" w:ascii="宋体" w:hAnsi="宋体"/>
          <w:b w:val="0"/>
          <w:bCs/>
          <w:color w:val="000000"/>
          <w:sz w:val="24"/>
          <w:szCs w:val="24"/>
          <w:highlight w:val="none"/>
          <w:lang w:val="en-US" w:eastAsia="zh-CN" w:bidi="ar-SA"/>
        </w:rPr>
        <w:t xml:space="preserve">，甲方</w:t>
      </w:r>
      <w:r>
        <w:rPr>
          <w:rFonts w:ascii="宋体" w:hAnsi="宋体"/>
          <w:b w:val="0"/>
          <w:bCs/>
          <w:color w:val="000000"/>
          <w:sz w:val="24"/>
          <w:szCs w:val="24"/>
          <w:highlight w:val="none"/>
          <w:lang w:val="en-US" w:eastAsia="zh-CN" w:bidi="ar-SA"/>
        </w:rPr>
        <w:t xml:space="preserve">收到</w:t>
      </w:r>
      <w:r>
        <w:rPr>
          <w:rFonts w:hint="eastAsia" w:ascii="宋体" w:hAnsi="宋体"/>
          <w:b w:val="0"/>
          <w:bCs/>
          <w:color w:val="000000"/>
          <w:sz w:val="24"/>
          <w:szCs w:val="24"/>
          <w:highlight w:val="none"/>
          <w:lang w:val="en-US" w:eastAsia="zh-CN" w:bidi="ar-SA"/>
        </w:rPr>
        <w:t xml:space="preserve">乙方</w:t>
      </w:r>
      <w:r>
        <w:rPr>
          <w:rFonts w:ascii="宋体" w:hAnsi="宋体"/>
          <w:b w:val="0"/>
          <w:bCs/>
          <w:color w:val="000000"/>
          <w:sz w:val="24"/>
          <w:szCs w:val="24"/>
          <w:highlight w:val="none"/>
          <w:lang w:val="en-US" w:eastAsia="zh-CN" w:bidi="ar-SA"/>
        </w:rPr>
        <w:t xml:space="preserve">发票后 10 个工作日</w:t>
      </w:r>
      <w:r>
        <w:rPr>
          <w:rFonts w:hint="eastAsia" w:ascii="宋体" w:hAnsi="宋体"/>
          <w:b w:val="0"/>
          <w:bCs/>
          <w:color w:val="000000"/>
          <w:sz w:val="24"/>
          <w:szCs w:val="24"/>
          <w:highlight w:val="none"/>
          <w:lang w:val="en-US" w:eastAsia="zh-CN" w:bidi="ar-SA"/>
        </w:rPr>
        <w:t xml:space="preserve">内支付相应款项</w:t>
      </w:r>
      <w:r>
        <w:rPr>
          <w:rFonts w:ascii="宋体" w:hAnsi="宋体"/>
          <w:b w:val="0"/>
          <w:bCs/>
          <w:color w:val="000000"/>
          <w:sz w:val="24"/>
          <w:szCs w:val="24"/>
          <w:highlight w:val="none"/>
          <w:lang w:val="en-US" w:eastAsia="zh-CN" w:bidi="ar-SA"/>
        </w:rPr>
        <w:t xml:space="preserve">。因</w:t>
      </w:r>
      <w:r>
        <w:rPr>
          <w:rFonts w:hint="eastAsia" w:ascii="宋体" w:hAnsi="宋体"/>
          <w:b w:val="0"/>
          <w:bCs/>
          <w:color w:val="000000"/>
          <w:sz w:val="24"/>
          <w:szCs w:val="24"/>
          <w:highlight w:val="none"/>
          <w:lang w:val="en-US" w:eastAsia="zh-CN" w:bidi="ar-SA"/>
        </w:rPr>
        <w:t xml:space="preserve">乙方</w:t>
      </w:r>
      <w:r>
        <w:rPr>
          <w:rFonts w:ascii="宋体" w:hAnsi="宋体"/>
          <w:b w:val="0"/>
          <w:bCs/>
          <w:color w:val="000000"/>
          <w:sz w:val="24"/>
          <w:szCs w:val="24"/>
          <w:highlight w:val="none"/>
          <w:lang w:val="en-US" w:eastAsia="zh-CN" w:bidi="ar-SA"/>
        </w:rPr>
        <w:t xml:space="preserve">原因未及时提供发票导致不能支付的，相应责任由</w:t>
      </w:r>
      <w:r>
        <w:rPr>
          <w:rFonts w:hint="eastAsia" w:ascii="宋体" w:hAnsi="宋体"/>
          <w:b w:val="0"/>
          <w:bCs/>
          <w:color w:val="000000"/>
          <w:sz w:val="24"/>
          <w:szCs w:val="24"/>
          <w:highlight w:val="none"/>
          <w:lang w:val="en-US" w:eastAsia="zh-CN" w:bidi="ar-SA"/>
        </w:rPr>
        <w:t xml:space="preserve">乙方</w:t>
      </w:r>
      <w:r>
        <w:rPr>
          <w:rFonts w:ascii="宋体" w:hAnsi="宋体"/>
          <w:b w:val="0"/>
          <w:bCs/>
          <w:color w:val="000000"/>
          <w:sz w:val="24"/>
          <w:szCs w:val="24"/>
          <w:highlight w:val="none"/>
          <w:lang w:val="en-US" w:eastAsia="zh-CN" w:bidi="ar-SA"/>
        </w:rPr>
        <w:t xml:space="preserve">负责。</w:t>
      </w:r>
      <w:r>
        <w:rPr>
          <w:rFonts w:ascii="宋体" w:hAnsi="宋体"/>
          <w:b w:val="0"/>
          <w:bCs/>
          <w:color w:val="000000"/>
          <w:sz w:val="24"/>
          <w:szCs w:val="24"/>
          <w:highlight w:val="none"/>
          <w:lang w:val="en-US" w:eastAsia="zh-CN" w:bidi="ar-SA"/>
        </w:rPr>
      </w:r>
      <w:r/>
    </w:p>
    <w:p>
      <w:pPr>
        <w:pStyle w:val="1164"/>
        <w:numPr>
          <w:ilvl w:val="0"/>
          <w:numId w:val="0"/>
        </w:numPr>
        <w:contextualSpacing/>
        <w:ind w:left="-2" w:firstLine="480"/>
        <w:spacing w:line="360" w:lineRule="auto"/>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b w:val="0"/>
          <w:bCs/>
          <w:color w:val="000000"/>
          <w:sz w:val="24"/>
          <w:szCs w:val="24"/>
          <w:highlight w:val="none"/>
          <w:lang w:val="en-US" w:eastAsia="zh-CN" w:bidi="ar-SA"/>
        </w:rPr>
        <w:t xml:space="preserve">5.</w:t>
      </w:r>
      <w:r>
        <w:rPr>
          <w:rFonts w:hint="eastAsia" w:ascii="宋体" w:hAnsi="宋体" w:eastAsia="宋体" w:cs="Times New Roman"/>
          <w:b w:val="0"/>
          <w:bCs/>
          <w:color w:val="000000"/>
          <w:sz w:val="24"/>
          <w:szCs w:val="24"/>
          <w:highlight w:val="none"/>
          <w:lang w:val="en-US" w:eastAsia="zh-CN" w:bidi="ar-SA"/>
        </w:rPr>
        <w:t xml:space="preserve">考核要求</w:t>
      </w:r>
      <w:r>
        <w:rPr>
          <w:rFonts w:hint="eastAsia" w:ascii="宋体" w:hAnsi="宋体" w:eastAsia="宋体" w:cs="Times New Roman"/>
          <w:b/>
          <w:color w:val="000000"/>
          <w:sz w:val="24"/>
          <w:szCs w:val="24"/>
          <w:highlight w:val="none"/>
          <w:lang w:val="en-US" w:eastAsia="zh-CN" w:bidi="ar-SA"/>
        </w:rPr>
      </w:r>
      <w:r/>
    </w:p>
    <w:p>
      <w:pPr>
        <w:pStyle w:val="1164"/>
        <w:contextualSpacing/>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甲方按年度（12个月）</w:t>
      </w:r>
      <w:r>
        <w:rPr>
          <w:rFonts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服务单位的</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val="en-US" w:eastAsia="zh-CN"/>
        </w:rPr>
        <w:t xml:space="preserve">进行考核</w:t>
      </w:r>
      <w:r>
        <w:rPr>
          <w:rFonts w:ascii="宋体" w:hAnsi="宋体" w:eastAsia="宋体" w:cs="宋体"/>
          <w:color w:val="000000"/>
          <w:sz w:val="24"/>
          <w:szCs w:val="24"/>
          <w:highlight w:val="none"/>
          <w:lang w:val="en-US" w:eastAsia="zh-CN"/>
        </w:rPr>
        <w:t xml:space="preserve">，并根据考核内容进行打分（扣分）</w:t>
      </w:r>
      <w:r>
        <w:rPr>
          <w:rFonts w:hint="eastAsia" w:ascii="宋体" w:hAnsi="宋体" w:eastAsia="宋体" w:cs="宋体"/>
          <w:color w:val="000000"/>
          <w:sz w:val="24"/>
          <w:szCs w:val="24"/>
          <w:highlight w:val="none"/>
          <w:lang w:val="en-US" w:eastAsia="zh-CN"/>
        </w:rPr>
        <w:t xml:space="preserve">，考核为百分制。</w:t>
      </w:r>
      <w:r>
        <w:rPr>
          <w:rFonts w:ascii="宋体" w:hAnsi="宋体" w:eastAsia="宋体" w:cs="宋体"/>
          <w:color w:val="000000"/>
          <w:sz w:val="24"/>
          <w:szCs w:val="24"/>
          <w:highlight w:val="none"/>
          <w:lang w:val="en-US" w:eastAsia="zh-CN"/>
        </w:rPr>
      </w:r>
      <w:r/>
    </w:p>
    <w:p>
      <w:pPr>
        <w:pStyle w:val="1164"/>
        <w:contextualSpacing/>
        <w:ind w:firstLine="480"/>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年度考核得分90分</w:t>
      </w:r>
      <w:r>
        <w:rPr>
          <w:rFonts w:hint="eastAsia" w:ascii="宋体" w:hAnsi="宋体" w:eastAsia="宋体" w:cs="宋体"/>
          <w:color w:val="000000"/>
          <w:sz w:val="24"/>
          <w:szCs w:val="24"/>
          <w:highlight w:val="none"/>
          <w:lang w:val="en-US" w:eastAsia="zh-CN"/>
        </w:rPr>
        <w:t xml:space="preserve">及</w:t>
      </w:r>
      <w:r>
        <w:rPr>
          <w:rFonts w:ascii="宋体" w:hAnsi="宋体" w:eastAsia="宋体" w:cs="宋体"/>
          <w:color w:val="000000"/>
          <w:sz w:val="24"/>
          <w:szCs w:val="24"/>
          <w:highlight w:val="none"/>
          <w:lang w:val="en-US" w:eastAsia="zh-CN"/>
        </w:rPr>
        <w:t xml:space="preserve">以上（含90分），</w:t>
      </w:r>
      <w:r>
        <w:rPr>
          <w:rFonts w:hint="eastAsia" w:ascii="宋体" w:hAnsi="宋体" w:eastAsia="宋体" w:cs="宋体"/>
          <w:color w:val="000000"/>
          <w:sz w:val="24"/>
          <w:szCs w:val="24"/>
          <w:highlight w:val="none"/>
          <w:lang w:val="en-US" w:eastAsia="zh-CN"/>
        </w:rPr>
        <w:t xml:space="preserve">全额支付年度维保费用；</w:t>
      </w:r>
      <w:r>
        <w:rPr>
          <w:rFonts w:ascii="宋体" w:hAnsi="宋体" w:eastAsia="宋体" w:cs="宋体"/>
          <w:color w:val="000000"/>
          <w:sz w:val="24"/>
          <w:szCs w:val="24"/>
          <w:highlight w:val="none"/>
          <w:lang w:val="en-US" w:eastAsia="zh-CN"/>
        </w:rPr>
        <w:t xml:space="preserve">年度考核得分90分以下（不含90分），相应考核项目每降低1分</w:t>
      </w:r>
      <w:r>
        <w:rPr>
          <w:rFonts w:hint="eastAsia" w:ascii="宋体" w:hAnsi="宋体" w:eastAsia="宋体" w:cs="宋体"/>
          <w:color w:val="000000"/>
          <w:sz w:val="24"/>
          <w:szCs w:val="24"/>
          <w:highlight w:val="none"/>
          <w:lang w:val="en-US" w:eastAsia="zh-CN"/>
        </w:rPr>
        <w:t xml:space="preserve">，扣除3000元；</w:t>
      </w:r>
      <w:r>
        <w:rPr>
          <w:rFonts w:ascii="宋体" w:hAnsi="宋体" w:eastAsia="宋体" w:cs="宋体"/>
          <w:color w:val="000000"/>
          <w:sz w:val="24"/>
          <w:szCs w:val="24"/>
          <w:highlight w:val="none"/>
          <w:lang w:val="en-US" w:eastAsia="zh-CN"/>
        </w:rPr>
        <w:t xml:space="preserve">年度考核得分</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及</w:t>
      </w:r>
      <w:r>
        <w:rPr>
          <w:rFonts w:ascii="宋体" w:hAnsi="宋体" w:eastAsia="宋体" w:cs="宋体"/>
          <w:color w:val="000000"/>
          <w:sz w:val="24"/>
          <w:szCs w:val="24"/>
          <w:highlight w:val="none"/>
          <w:lang w:val="en-US" w:eastAsia="zh-CN"/>
        </w:rPr>
        <w:t xml:space="preserve">以下（含</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，甲方</w:t>
      </w:r>
      <w:r>
        <w:rPr>
          <w:rFonts w:ascii="宋体" w:hAnsi="宋体" w:eastAsia="宋体" w:cs="宋体"/>
          <w:color w:val="000000"/>
          <w:sz w:val="24"/>
          <w:szCs w:val="24"/>
          <w:highlight w:val="none"/>
          <w:lang w:val="en-US" w:eastAsia="zh-CN"/>
        </w:rPr>
        <w:t xml:space="preserve">有权单方与</w:t>
      </w:r>
      <w:r>
        <w:rPr>
          <w:rFonts w:hint="eastAsia" w:ascii="宋体" w:hAnsi="宋体" w:eastAsia="宋体" w:cs="宋体"/>
          <w:color w:val="000000"/>
          <w:sz w:val="24"/>
          <w:szCs w:val="24"/>
          <w:highlight w:val="none"/>
          <w:lang w:val="en-US" w:eastAsia="zh-CN"/>
        </w:rPr>
        <w:t xml:space="preserve">乙方</w:t>
      </w:r>
      <w:r>
        <w:rPr>
          <w:rFonts w:ascii="宋体" w:hAnsi="宋体" w:eastAsia="宋体" w:cs="宋体"/>
          <w:color w:val="000000"/>
          <w:sz w:val="24"/>
          <w:szCs w:val="24"/>
          <w:highlight w:val="none"/>
          <w:lang w:val="en-US" w:eastAsia="zh-CN"/>
        </w:rPr>
        <w:t xml:space="preserve">解除合同</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val="en-US" w:eastAsia="zh-CN"/>
        </w:rPr>
        <w:t xml:space="preserve">甲方</w:t>
      </w:r>
      <w:r>
        <w:rPr>
          <w:rFonts w:ascii="宋体" w:hAnsi="宋体" w:eastAsia="宋体" w:cs="宋体"/>
          <w:color w:val="000000"/>
          <w:sz w:val="24"/>
          <w:szCs w:val="24"/>
          <w:highlight w:val="none"/>
          <w:lang w:val="en-US" w:eastAsia="zh-CN"/>
        </w:rPr>
        <w:t xml:space="preserve">无需承担任何违约责任</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70"/>
        <w:contextualSpacing/>
        <w:ind w:left="-2" w:firstLine="480"/>
        <w:jc w:val="center"/>
        <w:spacing w:line="360" w:lineRule="auto"/>
        <w:tabs>
          <w:tab w:val="left" w:pos="567"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考核表</w:t>
      </w:r>
      <w:r>
        <w:rPr>
          <w:rFonts w:hint="eastAsia" w:ascii="宋体" w:hAnsi="宋体" w:cs="宋体"/>
          <w:color w:val="000000"/>
          <w:sz w:val="24"/>
          <w:szCs w:val="24"/>
          <w:highlight w:val="none"/>
          <w:lang w:val="en-US" w:eastAsia="zh-CN"/>
        </w:rPr>
      </w:r>
      <w:r/>
    </w:p>
    <w:tbl>
      <w:tblPr>
        <w:tblStyle w:val="11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1253"/>
        <w:gridCol w:w="1600"/>
        <w:gridCol w:w="2199"/>
        <w:gridCol w:w="2322"/>
      </w:tblGrid>
      <w:tr>
        <w:trPr>
          <w:trHeight w:val="473"/>
        </w:trPr>
        <w:tc>
          <w:tcPr>
            <w:gridSpan w:val="4"/>
            <w:tcW w:w="6966" w:type="dxa"/>
            <w:vAlign w:val="top"/>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考核单位：</w:t>
            </w:r>
            <w:r>
              <w:rPr>
                <w:rFonts w:ascii="宋体" w:hAnsi="宋体" w:cs="宋体"/>
                <w:color w:val="000000"/>
                <w:sz w:val="24"/>
                <w:szCs w:val="24"/>
                <w:highlight w:val="none"/>
                <w:vertAlign w:val="baseline"/>
                <w:lang w:val="en-US" w:eastAsia="zh-CN"/>
              </w:rPr>
            </w:r>
            <w:r/>
          </w:p>
        </w:tc>
        <w:tc>
          <w:tcPr>
            <w:tcW w:w="2322" w:type="dxa"/>
            <w:vAlign w:val="top"/>
            <w:vMerge w:val="restart"/>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考核时间：</w:t>
            </w:r>
            <w:r>
              <w:rPr>
                <w:rFonts w:ascii="宋体" w:hAnsi="宋体" w:cs="宋体"/>
                <w:color w:val="000000"/>
                <w:sz w:val="24"/>
                <w:szCs w:val="24"/>
                <w:highlight w:val="none"/>
                <w:vertAlign w:val="baseline"/>
                <w:lang w:val="en-US" w:eastAsia="zh-CN"/>
              </w:rPr>
            </w:r>
            <w:r/>
          </w:p>
        </w:tc>
      </w:tr>
      <w:tr>
        <w:trPr/>
        <w:tc>
          <w:tcPr>
            <w:gridSpan w:val="4"/>
            <w:tcW w:w="6966" w:type="dxa"/>
            <w:vAlign w:val="top"/>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被考核单位：</w:t>
            </w:r>
            <w:r>
              <w:rPr>
                <w:rFonts w:ascii="宋体" w:hAnsi="宋体" w:cs="宋体"/>
                <w:color w:val="000000"/>
                <w:sz w:val="24"/>
                <w:szCs w:val="24"/>
                <w:highlight w:val="none"/>
                <w:vertAlign w:val="baseline"/>
                <w:lang w:val="en-US" w:eastAsia="zh-CN"/>
              </w:rPr>
            </w:r>
            <w:r/>
          </w:p>
        </w:tc>
        <w:tc>
          <w:tcPr>
            <w:tcW w:w="2322" w:type="dxa"/>
            <w:vAlign w:val="top"/>
            <w:vMerge w:val="continue"/>
            <w:textDirection w:val="lrTb"/>
            <w:noWrap w:val="false"/>
          </w:tcPr>
          <w:p>
            <w:pPr>
              <w:pStyle w:val="1070"/>
              <w:contextualSpacing/>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考核项目</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分值</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具体内容</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得分</w:t>
            </w: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设备维保档案</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A、按时巡查、记录完整（得满分）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B、未按时巡查或记录缺失（一次扣 3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C、无人巡查或无巡查记录（本项不得分)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保养内容</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30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A.按维保计划完成全部保养内容（得满分）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B.未按维保计划完成保养内容（少一条扣三分）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维修响应</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20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A、按要求时间到达并及时处理完成(得满分)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B、按要求时间到达但因维保方人为因素不能按要求时间内处理完成(一次扣3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C、超过要求时间到达现场(一次扣 6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D、未到达现场（本项不得分)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备件材料</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20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A、备件充足、齐全且规格、品质为原厂全新配件(得满分)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B、备件较为齐全，但不为原厂全新配件 (扣5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C、备件种类不齐全(扣5 分)</w:t>
            </w:r>
            <w:r>
              <w:rPr>
                <w:rFonts w:ascii="宋体" w:hAnsi="宋体" w:cs="宋体"/>
                <w:color w:val="000000"/>
                <w:sz w:val="24"/>
                <w:szCs w:val="24"/>
                <w:highlight w:val="none"/>
                <w:vertAlign w:val="baseline"/>
                <w:lang w:val="en-US" w:eastAsia="zh-CN"/>
              </w:rPr>
            </w:r>
            <w:r/>
          </w:p>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D、无备件（本项不得分)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维保效果</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维修质量 （优秀</w:t>
            </w: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t xml:space="preserve">分/良好 </w:t>
            </w:r>
            <w:r>
              <w:rPr>
                <w:rFonts w:hint="eastAsia" w:ascii="宋体" w:hAnsi="宋体" w:cs="宋体"/>
                <w:color w:val="000000"/>
                <w:sz w:val="24"/>
                <w:szCs w:val="24"/>
                <w:highlight w:val="none"/>
                <w:vertAlign w:val="baseline"/>
                <w:lang w:val="en-US" w:eastAsia="zh-CN"/>
              </w:rPr>
              <w:t xml:space="preserve">5</w:t>
            </w:r>
            <w:r>
              <w:rPr>
                <w:rFonts w:ascii="宋体" w:hAnsi="宋体" w:cs="宋体"/>
                <w:color w:val="000000"/>
                <w:sz w:val="24"/>
                <w:szCs w:val="24"/>
                <w:highlight w:val="none"/>
                <w:vertAlign w:val="baseline"/>
                <w:lang w:val="en-US" w:eastAsia="zh-CN"/>
              </w:rPr>
              <w:t xml:space="preserve">分/差0 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tcW w:w="1914"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开机率</w:t>
            </w:r>
            <w:r>
              <w:rPr>
                <w:rFonts w:ascii="宋体" w:hAnsi="宋体" w:cs="宋体"/>
                <w:color w:val="000000"/>
                <w:sz w:val="24"/>
                <w:szCs w:val="24"/>
                <w:highlight w:val="none"/>
                <w:vertAlign w:val="baseline"/>
                <w:lang w:val="en-US" w:eastAsia="zh-CN"/>
              </w:rPr>
            </w:r>
            <w:r/>
          </w:p>
        </w:tc>
        <w:tc>
          <w:tcPr>
            <w:tcW w:w="1253"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10</w:t>
            </w:r>
            <w:r>
              <w:rPr>
                <w:rFonts w:ascii="宋体" w:hAnsi="宋体" w:cs="宋体"/>
                <w:color w:val="000000"/>
                <w:sz w:val="24"/>
                <w:szCs w:val="24"/>
                <w:highlight w:val="none"/>
                <w:vertAlign w:val="baseline"/>
                <w:lang w:val="en-US" w:eastAsia="zh-CN"/>
              </w:rPr>
            </w:r>
            <w:r/>
          </w:p>
        </w:tc>
        <w:tc>
          <w:tcPr>
            <w:gridSpan w:val="2"/>
            <w:tcW w:w="3799" w:type="dxa"/>
            <w:vAlign w:val="center"/>
            <w:textDirection w:val="lrTb"/>
            <w:noWrap w:val="false"/>
          </w:tcPr>
          <w:p>
            <w:pPr>
              <w:pStyle w:val="1070"/>
              <w:contextualSpacing/>
              <w:jc w:val="left"/>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t xml:space="preserve">设备实际开机率应不低于95%，设备实际开机率%（以一年 365 天计算，未达到要求每一天扣1 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gridSpan w:val="4"/>
            <w:tcW w:w="6966"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总得分</w:t>
            </w:r>
            <w:r>
              <w:rPr>
                <w:rFonts w:ascii="宋体" w:hAnsi="宋体" w:cs="宋体"/>
                <w:color w:val="000000"/>
                <w:sz w:val="24"/>
                <w:szCs w:val="24"/>
                <w:highlight w:val="none"/>
                <w:vertAlign w:val="baseline"/>
                <w:lang w:val="en-US" w:eastAsia="zh-CN"/>
              </w:rPr>
            </w:r>
            <w:r/>
          </w:p>
        </w:tc>
        <w:tc>
          <w:tcPr>
            <w:tcW w:w="2322" w:type="dxa"/>
            <w:vAlign w:val="center"/>
            <w:textDirection w:val="lrTb"/>
            <w:noWrap w:val="false"/>
          </w:tcPr>
          <w:p>
            <w:pPr>
              <w:pStyle w:val="1070"/>
              <w:contextualSpacing/>
              <w:jc w:val="center"/>
              <w:spacing w:line="360" w:lineRule="auto"/>
              <w:tabs>
                <w:tab w:val="left" w:pos="567" w:leader="none"/>
              </w:tabs>
              <w:rPr>
                <w:rFonts w:ascii="宋体" w:hAnsi="宋体" w:cs="宋体"/>
                <w:color w:val="000000"/>
                <w:sz w:val="24"/>
                <w:szCs w:val="24"/>
                <w:highlight w:val="none"/>
                <w:vertAlign w:val="baseline"/>
                <w:lang w:val="en-US" w:eastAsia="zh-CN"/>
              </w:rPr>
            </w:pPr>
            <w:r>
              <w:rPr>
                <w:rFonts w:ascii="宋体" w:hAnsi="宋体" w:cs="宋体"/>
                <w:color w:val="000000"/>
                <w:sz w:val="24"/>
                <w:szCs w:val="24"/>
                <w:highlight w:val="none"/>
                <w:vertAlign w:val="baseline"/>
                <w:lang w:val="en-US" w:eastAsia="zh-CN"/>
              </w:rPr>
            </w:r>
            <w:r/>
          </w:p>
        </w:tc>
      </w:tr>
      <w:tr>
        <w:trPr/>
        <w:tc>
          <w:tcPr>
            <w:gridSpan w:val="3"/>
            <w:tcW w:w="4767" w:type="dxa"/>
            <w:vAlign w:val="center"/>
            <w:textDirection w:val="lrTb"/>
            <w:noWrap w:val="false"/>
          </w:tcPr>
          <w:p>
            <w:pPr>
              <w:pStyle w:val="1070"/>
              <w:contextualSpacing/>
              <w:jc w:val="both"/>
              <w:spacing w:line="360" w:lineRule="auto"/>
              <w:tabs>
                <w:tab w:val="left" w:pos="567" w:leader="none"/>
              </w:tabs>
              <w:rPr>
                <w:rFonts w:hint="eastAsia" w:ascii="宋体" w:hAnsi="宋体" w:cs="宋体"/>
                <w:color w:val="000000"/>
                <w:sz w:val="24"/>
                <w:szCs w:val="24"/>
                <w:highlight w:val="none"/>
                <w:vertAlign w:val="baseline"/>
                <w:lang w:val="en-US" w:eastAsia="zh-CN" w:bidi="ar-SA"/>
              </w:rPr>
            </w:pPr>
            <w:r>
              <w:rPr>
                <w:rFonts w:hint="eastAsia" w:ascii="宋体" w:hAnsi="宋体" w:cs="宋体"/>
                <w:color w:val="000000"/>
                <w:sz w:val="24"/>
                <w:szCs w:val="24"/>
                <w:highlight w:val="none"/>
                <w:vertAlign w:val="baseline"/>
                <w:lang w:val="en-US" w:eastAsia="zh-CN"/>
              </w:rPr>
              <w:t xml:space="preserve">使用科室签字：                             </w:t>
            </w:r>
            <w:r>
              <w:rPr>
                <w:rFonts w:hint="eastAsia" w:ascii="宋体" w:hAnsi="宋体" w:cs="宋体"/>
                <w:color w:val="000000"/>
                <w:sz w:val="24"/>
                <w:szCs w:val="24"/>
                <w:highlight w:val="none"/>
                <w:vertAlign w:val="baseline"/>
                <w:lang w:val="en-US" w:eastAsia="zh-CN" w:bidi="ar-SA"/>
              </w:rPr>
            </w:r>
            <w:r/>
          </w:p>
        </w:tc>
        <w:tc>
          <w:tcPr>
            <w:gridSpan w:val="2"/>
            <w:tcW w:w="4521" w:type="dxa"/>
            <w:vAlign w:val="center"/>
            <w:textDirection w:val="lrTb"/>
            <w:noWrap w:val="false"/>
          </w:tcPr>
          <w:p>
            <w:pPr>
              <w:pStyle w:val="1070"/>
              <w:contextualSpacing/>
              <w:jc w:val="both"/>
              <w:spacing w:line="360" w:lineRule="auto"/>
              <w:tabs>
                <w:tab w:val="left" w:pos="567" w:leader="none"/>
              </w:tabs>
              <w:rPr>
                <w:rFonts w:ascii="宋体" w:hAnsi="宋体" w:cs="宋体"/>
                <w:color w:val="000000"/>
                <w:sz w:val="24"/>
                <w:szCs w:val="24"/>
                <w:highlight w:val="none"/>
                <w:vertAlign w:val="baseline"/>
                <w:lang w:val="en-US" w:eastAsia="zh-CN" w:bidi="ar-SA"/>
              </w:rPr>
            </w:pPr>
            <w:r>
              <w:rPr>
                <w:rFonts w:hint="eastAsia" w:ascii="宋体" w:hAnsi="宋体" w:cs="宋体"/>
                <w:color w:val="000000"/>
                <w:sz w:val="24"/>
                <w:szCs w:val="24"/>
                <w:highlight w:val="none"/>
                <w:vertAlign w:val="baseline"/>
                <w:lang w:val="en-US" w:eastAsia="zh-CN"/>
              </w:rPr>
              <w:t xml:space="preserve">管理科室签字：</w:t>
            </w:r>
            <w:r>
              <w:rPr>
                <w:rFonts w:ascii="宋体" w:hAnsi="宋体" w:cs="宋体"/>
                <w:color w:val="000000"/>
                <w:sz w:val="24"/>
                <w:szCs w:val="24"/>
                <w:highlight w:val="none"/>
                <w:vertAlign w:val="baseline"/>
                <w:lang w:val="en-US" w:eastAsia="zh-CN" w:bidi="ar-SA"/>
              </w:rPr>
            </w:r>
            <w:r/>
          </w:p>
        </w:tc>
      </w:tr>
    </w:tbl>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.乙方投标属虚假承诺，或是由于乙方的过错造成合同无法继续履行的，应向甲方支付不少于合同总价30%违约金，若该违约金不足以弥补甲方损失，则应当赔偿甲方所有损失。</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164"/>
        <w:contextualSpacing/>
        <w:ind w:firstLine="480"/>
        <w:jc w:val="left"/>
        <w:spacing w:line="360" w:lineRule="auto"/>
        <w:rPr>
          <w:rFonts w:ascii="宋体" w:hAnsi="宋体" w:eastAsia="宋体" w:cs="宋体"/>
          <w:b/>
          <w:color w:val="000000"/>
          <w:sz w:val="24"/>
          <w:highlight w:val="none"/>
          <w:lang w:val="en-US" w:eastAsia="zh-CN"/>
        </w:rPr>
      </w:pPr>
      <w:r>
        <w:rPr>
          <w:rFonts w:hint="eastAsia" w:ascii="宋体" w:hAnsi="宋体" w:cs="宋体"/>
          <w:b w:val="0"/>
          <w:bCs/>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甲方按年度（12个月）</w:t>
      </w:r>
      <w:r>
        <w:rPr>
          <w:rFonts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服务单位的</w:t>
      </w:r>
      <w:r>
        <w:rPr>
          <w:rFonts w:hint="eastAsia" w:ascii="宋体" w:hAnsi="宋体" w:eastAsia="宋体" w:cs="宋体"/>
          <w:color w:val="000000"/>
          <w:sz w:val="24"/>
          <w:szCs w:val="24"/>
          <w:highlight w:val="none"/>
          <w:lang w:val="en-US" w:eastAsia="zh-CN"/>
        </w:rPr>
        <w:t xml:space="preserve">维保</w:t>
      </w:r>
      <w:r>
        <w:rPr>
          <w:rFonts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val="en-US" w:eastAsia="zh-CN"/>
        </w:rPr>
        <w:t xml:space="preserve">进行考核</w:t>
      </w:r>
      <w:r>
        <w:rPr>
          <w:rFonts w:ascii="宋体" w:hAnsi="宋体" w:eastAsia="宋体" w:cs="宋体"/>
          <w:color w:val="000000"/>
          <w:sz w:val="24"/>
          <w:szCs w:val="24"/>
          <w:highlight w:val="none"/>
          <w:lang w:val="en-US" w:eastAsia="zh-CN"/>
        </w:rPr>
        <w:t xml:space="preserve">，并根据考核内容进行打分（扣分）</w:t>
      </w:r>
      <w:r>
        <w:rPr>
          <w:rFonts w:hint="eastAsia" w:ascii="宋体" w:hAnsi="宋体" w:eastAsia="宋体" w:cs="宋体"/>
          <w:color w:val="000000"/>
          <w:sz w:val="24"/>
          <w:szCs w:val="24"/>
          <w:highlight w:val="none"/>
          <w:lang w:val="en-US" w:eastAsia="zh-CN"/>
        </w:rPr>
        <w:t xml:space="preserve">，考核为百分制。</w:t>
      </w:r>
      <w:r>
        <w:rPr>
          <w:rFonts w:ascii="宋体" w:hAnsi="宋体" w:eastAsia="宋体" w:cs="宋体"/>
          <w:color w:val="000000"/>
          <w:sz w:val="24"/>
          <w:szCs w:val="24"/>
          <w:highlight w:val="none"/>
          <w:lang w:val="en-US" w:eastAsia="zh-CN"/>
        </w:rPr>
        <w:t xml:space="preserve">年度考核得分</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及</w:t>
      </w:r>
      <w:r>
        <w:rPr>
          <w:rFonts w:ascii="宋体" w:hAnsi="宋体" w:eastAsia="宋体" w:cs="宋体"/>
          <w:color w:val="000000"/>
          <w:sz w:val="24"/>
          <w:szCs w:val="24"/>
          <w:highlight w:val="none"/>
          <w:lang w:val="en-US" w:eastAsia="zh-CN"/>
        </w:rPr>
        <w:t xml:space="preserve">以下（含</w:t>
      </w: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，甲方</w:t>
      </w:r>
      <w:r>
        <w:rPr>
          <w:rFonts w:ascii="宋体" w:hAnsi="宋体" w:eastAsia="宋体" w:cs="宋体"/>
          <w:color w:val="000000"/>
          <w:sz w:val="24"/>
          <w:szCs w:val="24"/>
          <w:highlight w:val="none"/>
          <w:lang w:val="en-US" w:eastAsia="zh-CN"/>
        </w:rPr>
        <w:t xml:space="preserve">有权单方与</w:t>
      </w:r>
      <w:r>
        <w:rPr>
          <w:rFonts w:hint="eastAsia" w:ascii="宋体" w:hAnsi="宋体" w:eastAsia="宋体" w:cs="宋体"/>
          <w:color w:val="000000"/>
          <w:sz w:val="24"/>
          <w:szCs w:val="24"/>
          <w:highlight w:val="none"/>
          <w:lang w:val="en-US" w:eastAsia="zh-CN"/>
        </w:rPr>
        <w:t xml:space="preserve">乙方</w:t>
      </w:r>
      <w:r>
        <w:rPr>
          <w:rFonts w:ascii="宋体" w:hAnsi="宋体" w:eastAsia="宋体" w:cs="宋体"/>
          <w:color w:val="000000"/>
          <w:sz w:val="24"/>
          <w:szCs w:val="24"/>
          <w:highlight w:val="none"/>
          <w:lang w:val="en-US" w:eastAsia="zh-CN"/>
        </w:rPr>
        <w:t xml:space="preserve">解除合同</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val="en-US" w:eastAsia="zh-CN"/>
        </w:rPr>
        <w:t xml:space="preserve">甲方</w:t>
      </w:r>
      <w:r>
        <w:rPr>
          <w:rFonts w:ascii="宋体" w:hAnsi="宋体" w:eastAsia="宋体" w:cs="宋体"/>
          <w:color w:val="000000"/>
          <w:sz w:val="24"/>
          <w:szCs w:val="24"/>
          <w:highlight w:val="none"/>
          <w:lang w:val="en-US" w:eastAsia="zh-CN"/>
        </w:rPr>
        <w:t xml:space="preserve">无需承担任何违约责任</w:t>
      </w:r>
      <w:r>
        <w:rPr>
          <w:rFonts w:hint="eastAsia" w:ascii="宋体" w:hAnsi="宋体" w:eastAsia="宋体" w:cs="宋体"/>
          <w:color w:val="000000"/>
          <w:sz w:val="24"/>
          <w:szCs w:val="24"/>
          <w:highlight w:val="none"/>
          <w:lang w:val="en-US" w:eastAsia="zh-CN"/>
        </w:rPr>
        <w:t xml:space="preserve">。</w:t>
      </w:r>
      <w:r>
        <w:rPr>
          <w:rFonts w:ascii="宋体" w:hAnsi="宋体" w:eastAsia="宋体" w:cs="宋体"/>
          <w:b/>
          <w:color w:val="000000"/>
          <w:sz w:val="24"/>
          <w:highlight w:val="none"/>
          <w:lang w:val="en-US" w:eastAsia="zh-CN"/>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4"/>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Ref467988698"/>
      <w:r/>
      <w:bookmarkStart w:id="818" w:name="_Toc520356217"/>
      <w:r/>
      <w:bookmarkStart w:id="819" w:name="_Toc226965746"/>
      <w:r/>
      <w:bookmarkStart w:id="820" w:name="_Toc142311058"/>
      <w:r/>
      <w:bookmarkStart w:id="821" w:name="_Toc226337252"/>
      <w:r/>
      <w:bookmarkStart w:id="822" w:name="_Toc226965829"/>
      <w:r/>
      <w:bookmarkStart w:id="823" w:name="_Toc150774761"/>
      <w:r/>
      <w:bookmarkStart w:id="824" w:name="_Toc480942349"/>
      <w:r/>
      <w:bookmarkStart w:id="825" w:name="_Toc150480794"/>
      <w:r/>
      <w:bookmarkStart w:id="826" w:name="_Toc127151556"/>
      <w:r/>
      <w:bookmarkStart w:id="827" w:name="_Toc195842921"/>
      <w:r/>
      <w:bookmarkStart w:id="828" w:name="_Toc226309800"/>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1" w:name="_Hlt520271212"/>
      <w:r/>
      <w:bookmarkEnd w:id="831"/>
      <w:r/>
      <w:bookmarkStart w:id="832" w:name="_Hlt520273711"/>
      <w:r/>
      <w:bookmarkEnd w:id="832"/>
      <w:r/>
      <w:bookmarkStart w:id="833" w:name="_Hlt520274121"/>
      <w:r/>
      <w:bookmarkEnd w:id="833"/>
      <w:r/>
      <w:bookmarkStart w:id="834" w:name="_Hlt520274065"/>
      <w:r/>
      <w:bookmarkEnd w:id="834"/>
      <w:r/>
      <w:bookmarkStart w:id="835" w:name="_Hlt520355504"/>
      <w:r/>
      <w:bookmarkEnd w:id="835"/>
      <w:r/>
      <w:bookmarkStart w:id="836" w:name="_Hlt520274393"/>
      <w:r/>
      <w:bookmarkEnd w:id="836"/>
      <w:r/>
      <w:bookmarkStart w:id="837" w:name="_Hlt520350918"/>
      <w:r/>
      <w:bookmarkEnd w:id="837"/>
      <w:r/>
      <w:bookmarkStart w:id="838" w:name="_Hlt520343392"/>
      <w:r/>
      <w:bookmarkEnd w:id="838"/>
      <w:r/>
      <w:bookmarkStart w:id="839" w:name="_Hlt520343000"/>
      <w:r/>
      <w:bookmarkEnd w:id="839"/>
      <w:r/>
      <w:bookmarkStart w:id="840" w:name="_Hlt520274407"/>
      <w:r/>
      <w:bookmarkEnd w:id="840"/>
      <w:r/>
      <w:bookmarkStart w:id="841" w:name="_Toc142311059"/>
      <w:r/>
      <w:bookmarkStart w:id="842" w:name="_Toc150774762"/>
      <w:r/>
      <w:bookmarkStart w:id="843" w:name="_Toc226965747"/>
      <w:r/>
      <w:bookmarkStart w:id="844" w:name="_Toc226965830"/>
      <w:r/>
      <w:bookmarkStart w:id="845" w:name="_Toc127151557"/>
      <w:r/>
      <w:bookmarkStart w:id="846" w:name="_Toc150480795"/>
      <w:r/>
      <w:bookmarkStart w:id="847" w:name="_Toc265228395"/>
      <w:r/>
      <w:bookmarkStart w:id="848" w:name="_Toc305158825"/>
      <w:r/>
      <w:bookmarkStart w:id="849" w:name="_Toc480942350"/>
      <w:r/>
      <w:bookmarkStart w:id="850" w:name="_Ref467988705"/>
      <w:r/>
      <w:bookmarkStart w:id="851" w:name="_Toc195842922"/>
      <w:r/>
      <w:bookmarkStart w:id="852" w:name="_Toc520356218"/>
      <w:r/>
      <w:bookmarkStart w:id="853" w:name="_Toc226337253"/>
      <w:r/>
      <w:bookmarkStart w:id="854" w:name="_Toc226309801"/>
      <w:r/>
      <w:bookmarkStart w:id="855" w:name="_Toc264969247"/>
      <w:r/>
      <w:bookmarkStart w:id="856" w:name="_Toc30515889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7" w:name="_Toc264969248"/>
      <w:r/>
      <w:bookmarkStart w:id="858" w:name="_Toc226965748"/>
      <w:r/>
      <w:bookmarkStart w:id="859" w:name="_Toc305158826"/>
      <w:r/>
      <w:bookmarkStart w:id="860" w:name="_Toc305158900"/>
      <w:r/>
      <w:bookmarkStart w:id="861" w:name="_Toc226337254"/>
      <w:r/>
      <w:bookmarkStart w:id="862" w:name="_Toc164608672"/>
      <w:r/>
      <w:bookmarkStart w:id="863" w:name="_Toc226965831"/>
      <w:r/>
      <w:bookmarkStart w:id="864" w:name="_Toc195842923"/>
      <w:r/>
      <w:bookmarkStart w:id="865" w:name="_Toc226309802"/>
      <w:r/>
      <w:bookmarkStart w:id="866" w:name="_Toc265228396"/>
      <w:r/>
      <w:bookmarkStart w:id="867" w:name="_Toc164608827"/>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8" w:name="_Toc142311060"/>
      <w:r/>
      <w:bookmarkStart w:id="869" w:name="_Toc265228397"/>
      <w:r/>
      <w:bookmarkStart w:id="870" w:name="_Toc150774763"/>
      <w:r/>
      <w:bookmarkStart w:id="871" w:name="_Toc226337255"/>
      <w:r/>
      <w:bookmarkStart w:id="872" w:name="_Toc305158827"/>
      <w:r/>
      <w:bookmarkStart w:id="873" w:name="_Toc226965749"/>
      <w:r/>
      <w:bookmarkStart w:id="874" w:name="_Toc127151558"/>
      <w:r/>
      <w:bookmarkStart w:id="875" w:name="_Toc195842924"/>
      <w:r/>
      <w:bookmarkStart w:id="876" w:name="_Toc305158901"/>
      <w:r/>
      <w:bookmarkStart w:id="877" w:name="_Toc264969249"/>
      <w:r/>
      <w:bookmarkStart w:id="878" w:name="_Toc150480796"/>
      <w:r/>
      <w:bookmarkStart w:id="879" w:name="_Toc226309803"/>
      <w:r/>
      <w:bookmarkStart w:id="880" w:name="_Toc226965832"/>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left"/>
        <w:spacing w:before="240" w:after="240"/>
        <w:rPr>
          <w:rFonts w:ascii="宋体" w:hAnsi="宋体"/>
          <w:b/>
          <w:i/>
          <w:color w:val="000000"/>
          <w:sz w:val="24"/>
          <w:highlight w:val="none"/>
        </w:rPr>
      </w:pPr>
      <w:r>
        <w:rPr>
          <w:rFonts w:ascii="宋体" w:hAnsi="宋体"/>
          <w:b/>
          <w:i/>
          <w:color w:val="000000"/>
          <w:sz w:val="24"/>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8650" w:type="dxa"/>
            <w:vAlign w:val="center"/>
            <w:textDirection w:val="lrTb"/>
            <w:noWrap w:val="false"/>
          </w:tcPr>
          <w:p>
            <w:pPr>
              <w:pStyle w:val="1070"/>
              <w:jc w:val="left"/>
              <w:spacing w:line="360" w:lineRule="auto"/>
              <w:widowControl/>
              <w:rPr>
                <w:rFonts w:ascii="宋体" w:hAnsi="宋体" w:cs="Arial"/>
                <w:color w:val="000000"/>
                <w:sz w:val="24"/>
                <w:highlight w:val="none"/>
              </w:rPr>
            </w:pPr>
            <w:r/>
            <w:bookmarkStart w:id="881" w:name="_Toc305158830"/>
            <w:r/>
            <w:bookmarkStart w:id="882" w:name="_Toc265228400"/>
            <w:r/>
            <w:bookmarkStart w:id="883" w:name="_Toc195842927"/>
            <w:r/>
            <w:bookmarkStart w:id="884" w:name="_Toc305158904"/>
            <w:r/>
            <w:bookmarkStart w:id="885" w:name="_Toc127151562"/>
            <w:r/>
            <w:bookmarkStart w:id="886" w:name="_Toc226965835"/>
            <w:r/>
            <w:bookmarkStart w:id="887" w:name="_Toc150480798"/>
            <w:r/>
            <w:bookmarkStart w:id="888" w:name="_Toc142311062"/>
            <w:r/>
            <w:bookmarkStart w:id="889" w:name="_Toc226309806"/>
            <w:r/>
            <w:bookmarkStart w:id="890" w:name="_Toc226337258"/>
            <w:r/>
            <w:bookmarkStart w:id="891" w:name="_Toc264969252"/>
            <w:r/>
            <w:bookmarkStart w:id="892" w:name="_Toc150774765"/>
            <w:r/>
            <w:bookmarkStart w:id="893" w:name="_Toc226965752"/>
            <w:r/>
            <w:bookmarkStart w:id="894" w:name="_Toc226965751"/>
            <w:r/>
            <w:bookmarkStart w:id="895" w:name="_Toc127151561"/>
            <w:r/>
            <w:bookmarkStart w:id="896" w:name="_Toc305158903"/>
            <w:r/>
            <w:bookmarkStart w:id="897" w:name="_Toc265228399"/>
            <w:r/>
            <w:bookmarkStart w:id="898" w:name="_Toc264969251"/>
            <w:r/>
            <w:bookmarkStart w:id="899" w:name="_Toc226309805"/>
            <w:r/>
            <w:bookmarkStart w:id="900" w:name="_Toc150480797"/>
            <w:r/>
            <w:bookmarkStart w:id="901" w:name="_Toc142311061"/>
            <w:r/>
            <w:bookmarkStart w:id="902" w:name="_Toc305158829"/>
            <w:r/>
            <w:bookmarkStart w:id="903" w:name="_Toc150774764"/>
            <w:r/>
            <w:bookmarkStart w:id="904" w:name="_Toc195842926"/>
            <w:r/>
            <w:bookmarkStart w:id="905" w:name="_Toc226965834"/>
            <w:r/>
            <w:bookmarkStart w:id="906" w:name="_Toc226337257"/>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rPr>
          <w:rFonts w:ascii="宋体" w:hAnsi="宋体" w:eastAsia="宋体" w:cs="Times New Roman"/>
          <w:color w:val="000000"/>
          <w:sz w:val="24"/>
          <w:highlight w:val="none"/>
        </w:rPr>
        <w:t xml:space="preserve">上述各项的</w:t>
      </w:r>
      <w:r>
        <w:rPr>
          <w:rFonts w:hint="eastAsia" w:ascii="宋体" w:hAnsi="宋体" w:eastAsia="宋体" w:cs="Times New Roman"/>
          <w:color w:val="000000"/>
          <w:sz w:val="24"/>
          <w:highlight w:val="none"/>
        </w:rPr>
        <w:t xml:space="preserve">服务内容如表格中填写不下的</w:t>
      </w:r>
      <w:r>
        <w:rPr>
          <w:rFonts w:ascii="宋体" w:hAnsi="宋体" w:eastAsia="宋体" w:cs="Times New Roman"/>
          <w:color w:val="000000"/>
          <w:sz w:val="24"/>
          <w:highlight w:val="none"/>
        </w:rPr>
        <w:t xml:space="preserve">，可</w:t>
      </w:r>
      <w:r>
        <w:rPr>
          <w:rFonts w:hint="eastAsia" w:ascii="宋体" w:hAnsi="宋体" w:eastAsia="宋体" w:cs="Times New Roman"/>
          <w:color w:val="000000"/>
          <w:sz w:val="24"/>
          <w:highlight w:val="none"/>
        </w:rPr>
        <w:t xml:space="preserve">以逐项</w:t>
      </w:r>
      <w:r>
        <w:rPr>
          <w:rFonts w:ascii="宋体" w:hAnsi="宋体" w:eastAsia="宋体" w:cs="Times New Roman"/>
          <w:color w:val="000000"/>
          <w:sz w:val="24"/>
          <w:highlight w:val="none"/>
        </w:rPr>
        <w:t xml:space="preserve">另页描述。</w:t>
      </w:r>
      <w:r>
        <w:rPr>
          <w:rFonts w:ascii="宋体" w:hAnsi="宋体" w:eastAsia="宋体" w:cs="Times New Roman"/>
          <w:color w:val="000000"/>
          <w:sz w:val="24"/>
          <w:highlight w:val="none"/>
        </w:rPr>
      </w:r>
      <w:r/>
    </w:p>
    <w:p>
      <w:pPr>
        <w:pStyle w:val="1070"/>
        <w:jc w:val="left"/>
        <w:tabs>
          <w:tab w:val="left" w:pos="1800" w:leader="none"/>
          <w:tab w:val="left" w:pos="5580" w:leader="none"/>
        </w:tabs>
        <w:rPr>
          <w:rFonts w:ascii="宋体" w:hAnsi="宋体"/>
          <w:color w:val="000000"/>
          <w:sz w:val="24"/>
          <w:highlight w:val="none"/>
          <w:lang w:val="zh-CN"/>
        </w:rPr>
      </w:pPr>
      <w:r>
        <w:rPr>
          <w:rFonts w:ascii="宋体" w:hAnsi="宋体" w:eastAsia="宋体" w:cs="Times New Roman"/>
          <w:color w:val="000000"/>
          <w:sz w:val="24"/>
          <w:highlight w:val="none"/>
          <w:lang w:val="zh-CN"/>
        </w:rPr>
        <w:t xml:space="preserve">    </w:t>
      </w:r>
      <w:r>
        <w:rPr>
          <w:rFonts w:hint="eastAsia" w:ascii="宋体" w:hAnsi="宋体" w:eastAsia="宋体" w:cs="Arial"/>
          <w:color w:val="000000"/>
          <w:sz w:val="24"/>
          <w:highlight w:val="none"/>
        </w:rPr>
        <w:t xml:space="preserve">5.</w:t>
      </w:r>
      <w:r>
        <w:rPr>
          <w:rFonts w:hint="eastAsia" w:ascii="宋体" w:hAnsi="宋体" w:eastAsia="宋体" w:cs="Arial"/>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highlight w:val="none"/>
          <w:lang w:val="zh-CN"/>
        </w:rPr>
        <w:t xml:space="preserve"> </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Style w:val="114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Style w:val="114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Style w:val="114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w:t>
      </w:r>
      <w:r>
        <w:rPr>
          <w:rStyle w:val="1144"/>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lang w:val="en-US" w:eastAsia="zh-CN"/>
        </w:rPr>
        <w:outlineLvl w:val="2"/>
      </w:pPr>
      <w:r>
        <w:rPr>
          <w:rFonts w:hint="eastAsia" w:ascii="宋体" w:hAnsi="宋体"/>
          <w:b/>
          <w:color w:val="000000"/>
          <w:sz w:val="24"/>
          <w:highlight w:val="none"/>
          <w:lang w:val="en-US" w:eastAsia="zh-CN"/>
        </w:rPr>
      </w:r>
      <w:r/>
    </w:p>
    <w:p>
      <w:pPr>
        <w:pStyle w:val="1070"/>
        <w:spacing w:line="360" w:lineRule="auto"/>
        <w:rPr>
          <w:rFonts w:hint="eastAsia" w:ascii="宋体" w:hAnsi="宋体"/>
          <w:b/>
          <w:color w:val="000000"/>
          <w:sz w:val="24"/>
          <w:highlight w:val="none"/>
          <w:lang w:val="en-US" w:eastAsia="zh-CN"/>
        </w:rPr>
        <w:outlineLvl w:val="2"/>
      </w:pPr>
      <w:r>
        <w:rPr>
          <w:rFonts w:hint="eastAsia" w:ascii="宋体" w:hAnsi="宋体"/>
          <w:b/>
          <w:color w:val="000000"/>
          <w:sz w:val="24"/>
          <w:highlight w:val="none"/>
          <w:lang w:val="en-US" w:eastAsia="zh-CN"/>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正文文本11"/>
    <w:basedOn w:val="1325"/>
    <w:next w:val="1070"/>
    <w:link w:val="1070"/>
    <w:qFormat/>
    <w:pPr>
      <w:spacing w:after="120"/>
    </w:pPr>
  </w:style>
  <w:style w:type="paragraph" w:styleId="1325">
    <w:name w:val="正文11"/>
    <w:next w:val="1326"/>
    <w:link w:val="1070"/>
    <w:qFormat/>
    <w:pPr>
      <w:jc w:val="both"/>
    </w:pPr>
    <w:rPr>
      <w:rFonts w:ascii="Times New Roman" w:hAnsi="Times New Roman" w:eastAsia="宋体" w:cs="Times New Roman"/>
      <w:lang w:val="en-US" w:eastAsia="zh-CN" w:bidi="ar-SA"/>
    </w:rPr>
  </w:style>
  <w:style w:type="paragraph" w:styleId="1326">
    <w:name w:val="目录 11"/>
    <w:basedOn w:val="1327"/>
    <w:next w:val="1325"/>
    <w:link w:val="1070"/>
    <w:uiPriority w:val="39"/>
    <w:unhideWhenUsed/>
    <w:qFormat/>
    <w:pPr>
      <w:spacing w:after="57"/>
    </w:pPr>
  </w:style>
  <w:style w:type="paragraph" w:styleId="1327">
    <w:name w:val="正文12"/>
    <w:next w:val="1328"/>
    <w:link w:val="107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328">
    <w:name w:val="脚注文本1"/>
    <w:basedOn w:val="1329"/>
    <w:next w:val="1331"/>
    <w:link w:val="1070"/>
    <w:qFormat/>
    <w:rPr>
      <w:sz w:val="18"/>
      <w:szCs w:val="18"/>
    </w:rPr>
  </w:style>
  <w:style w:type="paragraph" w:styleId="1329">
    <w:name w:val="正文1"/>
    <w:basedOn w:val="1327"/>
    <w:next w:val="1330"/>
    <w:link w:val="1070"/>
    <w:qFormat/>
    <w:pPr>
      <w:ind w:firstLine="361"/>
      <w:spacing w:line="360" w:lineRule="auto"/>
    </w:pPr>
    <w:rPr>
      <w:rFonts w:ascii="宋体" w:hAnsi="宋体" w:eastAsia="仿宋_GB2312"/>
      <w:sz w:val="24"/>
    </w:rPr>
  </w:style>
  <w:style w:type="paragraph" w:styleId="1330">
    <w:name w:val="正文文本1"/>
    <w:basedOn w:val="1329"/>
    <w:next w:val="1329"/>
    <w:link w:val="1070"/>
    <w:qFormat/>
    <w:pPr>
      <w:spacing w:after="120"/>
    </w:pPr>
  </w:style>
  <w:style w:type="paragraph" w:styleId="1331">
    <w:name w:val="索引 51"/>
    <w:basedOn w:val="1332"/>
    <w:next w:val="1329"/>
    <w:link w:val="1070"/>
    <w:qFormat/>
    <w:pPr>
      <w:ind w:left="798"/>
      <w:jc w:val="left"/>
    </w:pPr>
  </w:style>
  <w:style w:type="paragraph" w:styleId="1332">
    <w:name w:val="正文111"/>
    <w:next w:val="1333"/>
    <w:link w:val="1070"/>
    <w:qFormat/>
    <w:pPr>
      <w:jc w:val="both"/>
      <w:widowControl w:val="off"/>
    </w:pPr>
    <w:rPr>
      <w:rFonts w:ascii="Times New Roman" w:hAnsi="Times New Roman" w:eastAsia="宋体" w:cs="Times New Roman"/>
      <w:sz w:val="21"/>
      <w:szCs w:val="24"/>
      <w:lang w:val="en-US" w:eastAsia="zh-CN" w:bidi="ar-SA"/>
    </w:rPr>
  </w:style>
  <w:style w:type="paragraph" w:styleId="1333">
    <w:name w:val="正文首行缩进 211"/>
    <w:basedOn w:val="1334"/>
    <w:next w:val="1332"/>
    <w:link w:val="1070"/>
    <w:qFormat/>
    <w:pPr>
      <w:ind w:firstLine="420"/>
      <w:tabs>
        <w:tab w:val="left" w:pos="0" w:leader="none"/>
        <w:tab w:val="left" w:pos="993" w:leader="none"/>
        <w:tab w:val="left" w:pos="1134" w:leader="none"/>
      </w:tabs>
    </w:pPr>
  </w:style>
  <w:style w:type="paragraph" w:styleId="1334">
    <w:name w:val="正文文本缩进11"/>
    <w:basedOn w:val="1335"/>
    <w:next w:val="1070"/>
    <w:link w:val="1070"/>
    <w:qFormat/>
    <w:pPr>
      <w:ind w:firstLine="301"/>
      <w:spacing w:line="200" w:lineRule="exact"/>
    </w:pPr>
    <w:rPr>
      <w:rFonts w:ascii="宋体" w:hAnsi="Courier New"/>
      <w:spacing w:val="-4"/>
      <w:sz w:val="18"/>
      <w:szCs w:val="20"/>
    </w:rPr>
  </w:style>
  <w:style w:type="paragraph" w:styleId="1335">
    <w:name w:val="正文112"/>
    <w:next w:val="1070"/>
    <w:link w:val="1070"/>
    <w:qFormat/>
    <w:pPr>
      <w:jc w:val="both"/>
      <w:widowControl w:val="off"/>
    </w:pPr>
    <w:rPr>
      <w:rFonts w:ascii="Times New Roman" w:hAnsi="Times New Roman" w:eastAsia="宋体" w:cs="Times New Roman"/>
      <w:sz w:val="21"/>
      <w:szCs w:val="24"/>
      <w:lang w:val="en-US" w:eastAsia="zh-CN" w:bidi="ar-SA"/>
    </w:rPr>
  </w:style>
  <w:style w:type="character" w:styleId="1336" w:default="1">
    <w:name w:val="Default Paragraph Font"/>
    <w:uiPriority w:val="1"/>
    <w:semiHidden/>
    <w:unhideWhenUsed/>
  </w:style>
  <w:style w:type="numbering" w:styleId="1337" w:default="1">
    <w:name w:val="No List"/>
    <w:uiPriority w:val="99"/>
    <w:semiHidden/>
    <w:unhideWhenUsed/>
  </w:style>
  <w:style w:type="table" w:styleId="13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2026-05-13T06:07:59Z</dcterms:modified>
</cp:coreProperties>
</file>